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9D951B" w14:textId="2C234B66" w:rsidR="00C30F06" w:rsidRDefault="00E47317" w:rsidP="00AF53E2">
      <w:pPr>
        <w:widowControl w:val="0"/>
        <w:tabs>
          <w:tab w:val="left" w:pos="220"/>
          <w:tab w:val="left" w:pos="720"/>
        </w:tabs>
        <w:autoSpaceDE w:val="0"/>
        <w:autoSpaceDN w:val="0"/>
        <w:adjustRightInd w:val="0"/>
        <w:spacing w:after="240"/>
        <w:contextualSpacing/>
        <w:jc w:val="center"/>
      </w:pPr>
      <w:r w:rsidRPr="00B70CB9">
        <w:rPr>
          <w:b/>
        </w:rPr>
        <w:t xml:space="preserve">AZERBAIJAN AND EUROPEAN HIGHER EDUCATION AREA: </w:t>
      </w:r>
      <w:r w:rsidR="007F698F">
        <w:rPr>
          <w:b/>
        </w:rPr>
        <w:t>STUDENTS’ INVOLV</w:t>
      </w:r>
      <w:r w:rsidR="006421A7">
        <w:rPr>
          <w:b/>
        </w:rPr>
        <w:t>E</w:t>
      </w:r>
      <w:r w:rsidR="007F698F">
        <w:rPr>
          <w:b/>
        </w:rPr>
        <w:t xml:space="preserve">MENT IN </w:t>
      </w:r>
      <w:r w:rsidRPr="00B70CB9">
        <w:rPr>
          <w:b/>
        </w:rPr>
        <w:t xml:space="preserve">BOLOGNA </w:t>
      </w:r>
      <w:r w:rsidR="007F698F">
        <w:rPr>
          <w:b/>
        </w:rPr>
        <w:t>REFORMS</w:t>
      </w:r>
    </w:p>
    <w:p w14:paraId="5AFB287B" w14:textId="77777777" w:rsidR="00DE3218" w:rsidRDefault="00DE3218" w:rsidP="00642502">
      <w:pPr>
        <w:contextualSpacing/>
        <w:jc w:val="both"/>
        <w:rPr>
          <w:b/>
        </w:rPr>
      </w:pPr>
    </w:p>
    <w:p w14:paraId="496623E8" w14:textId="77777777" w:rsidR="00776199" w:rsidRDefault="00776199" w:rsidP="00642502">
      <w:pPr>
        <w:contextualSpacing/>
        <w:jc w:val="both"/>
        <w:rPr>
          <w:b/>
        </w:rPr>
      </w:pPr>
    </w:p>
    <w:p w14:paraId="3327F471" w14:textId="5A771D3B" w:rsidR="00776199" w:rsidRDefault="00E75315" w:rsidP="0024320D">
      <w:pPr>
        <w:contextualSpacing/>
        <w:outlineLvl w:val="0"/>
      </w:pPr>
      <w:r>
        <w:t>LALA MAMMADOVA</w:t>
      </w:r>
    </w:p>
    <w:p w14:paraId="68D79999" w14:textId="77777777" w:rsidR="00BC0A05" w:rsidRPr="002F06CE" w:rsidRDefault="00BC0A05" w:rsidP="00BC0A05">
      <w:pPr>
        <w:contextualSpacing/>
        <w:rPr>
          <w:i/>
        </w:rPr>
      </w:pPr>
      <w:r>
        <w:rPr>
          <w:i/>
        </w:rPr>
        <w:t xml:space="preserve">Information Literacy and Writing Instructor, </w:t>
      </w:r>
      <w:r w:rsidRPr="002F06CE">
        <w:rPr>
          <w:i/>
        </w:rPr>
        <w:t>College of Humanities and Sciences, ADA University, Azerbaijan</w:t>
      </w:r>
    </w:p>
    <w:p w14:paraId="322C7586" w14:textId="77777777" w:rsidR="00BC0A05" w:rsidRPr="00DB2DDE" w:rsidRDefault="00BC0A05" w:rsidP="00BC0A05">
      <w:pPr>
        <w:contextualSpacing/>
      </w:pPr>
      <w:r w:rsidRPr="002F06CE">
        <w:rPr>
          <w:i/>
        </w:rPr>
        <w:t>The Institute of Education of the Republic of Azerbaijan, PhD student</w:t>
      </w:r>
      <w:r>
        <w:t xml:space="preserve"> </w:t>
      </w:r>
    </w:p>
    <w:p w14:paraId="6EA56194" w14:textId="77777777" w:rsidR="00BC0A05" w:rsidRDefault="00BC0A05" w:rsidP="00BC0A05">
      <w:pPr>
        <w:contextualSpacing/>
        <w:jc w:val="both"/>
      </w:pPr>
    </w:p>
    <w:p w14:paraId="599D6B0B" w14:textId="77777777" w:rsidR="00BC0A05" w:rsidRDefault="00BC0A05" w:rsidP="00BC0A05">
      <w:pPr>
        <w:contextualSpacing/>
        <w:jc w:val="both"/>
      </w:pPr>
      <w:r>
        <w:t>Dr. ANAR VALIYEV</w:t>
      </w:r>
    </w:p>
    <w:p w14:paraId="07205DA4" w14:textId="77777777" w:rsidR="00BC0A05" w:rsidRPr="005661CC" w:rsidRDefault="00BC0A05" w:rsidP="00BC0A05">
      <w:pPr>
        <w:contextualSpacing/>
        <w:jc w:val="both"/>
        <w:rPr>
          <w:i/>
        </w:rPr>
      </w:pPr>
      <w:r w:rsidRPr="005661CC">
        <w:rPr>
          <w:i/>
        </w:rPr>
        <w:t>Associate</w:t>
      </w:r>
      <w:r>
        <w:rPr>
          <w:i/>
        </w:rPr>
        <w:t xml:space="preserve"> Professor, School of Public and International Affairs, ADA University, Azerbaijan</w:t>
      </w:r>
    </w:p>
    <w:p w14:paraId="7FB50B7B" w14:textId="77777777" w:rsidR="00BC0A05" w:rsidRDefault="00BC0A05" w:rsidP="00BC0A05">
      <w:pPr>
        <w:contextualSpacing/>
        <w:jc w:val="center"/>
        <w:rPr>
          <w:b/>
        </w:rPr>
      </w:pPr>
    </w:p>
    <w:p w14:paraId="1ED97057" w14:textId="77777777" w:rsidR="00776199" w:rsidRDefault="00776199" w:rsidP="00642502">
      <w:pPr>
        <w:contextualSpacing/>
        <w:jc w:val="both"/>
        <w:rPr>
          <w:b/>
        </w:rPr>
      </w:pPr>
    </w:p>
    <w:p w14:paraId="63BECC42" w14:textId="77777777" w:rsidR="001003AE" w:rsidRDefault="001003AE" w:rsidP="001003AE">
      <w:pPr>
        <w:contextualSpacing/>
        <w:jc w:val="center"/>
        <w:outlineLvl w:val="0"/>
        <w:rPr>
          <w:b/>
        </w:rPr>
      </w:pPr>
    </w:p>
    <w:p w14:paraId="0E6354D6" w14:textId="77777777" w:rsidR="009B6671" w:rsidRDefault="009B6671" w:rsidP="009B6671">
      <w:pPr>
        <w:contextualSpacing/>
        <w:jc w:val="center"/>
        <w:outlineLvl w:val="0"/>
        <w:rPr>
          <w:b/>
        </w:rPr>
      </w:pPr>
      <w:r w:rsidRPr="006E0DBA">
        <w:rPr>
          <w:b/>
        </w:rPr>
        <w:t>ACKNOWLEDGEMENT</w:t>
      </w:r>
      <w:r>
        <w:rPr>
          <w:b/>
        </w:rPr>
        <w:t>S</w:t>
      </w:r>
    </w:p>
    <w:p w14:paraId="13BA4A58" w14:textId="77777777" w:rsidR="009B6671" w:rsidRDefault="009B6671" w:rsidP="009B6671">
      <w:pPr>
        <w:pStyle w:val="yiv7144802030gmail-p1"/>
        <w:shd w:val="clear" w:color="auto" w:fill="FFFFFF"/>
        <w:spacing w:before="0" w:beforeAutospacing="0" w:after="0" w:afterAutospacing="0"/>
        <w:rPr>
          <w:color w:val="000000" w:themeColor="text1"/>
        </w:rPr>
      </w:pPr>
    </w:p>
    <w:p w14:paraId="6CC2D913" w14:textId="77777777" w:rsidR="009B6671" w:rsidRPr="001003AE" w:rsidRDefault="009B6671" w:rsidP="009B6671">
      <w:pPr>
        <w:pStyle w:val="yiv7144802030gmail-p1"/>
        <w:shd w:val="clear" w:color="auto" w:fill="FFFFFF"/>
        <w:spacing w:before="0" w:beforeAutospacing="0" w:after="0" w:afterAutospacing="0"/>
        <w:rPr>
          <w:b/>
          <w:color w:val="000000" w:themeColor="text1"/>
        </w:rPr>
      </w:pPr>
      <w:r w:rsidRPr="001003AE">
        <w:rPr>
          <w:b/>
          <w:color w:val="000000" w:themeColor="text1"/>
        </w:rPr>
        <w:t>Authors gratefully acknowledge the financial support of the Institute of Education of the Republic of Azerbaijan.</w:t>
      </w:r>
    </w:p>
    <w:p w14:paraId="29AEF325" w14:textId="77777777" w:rsidR="001003AE" w:rsidRDefault="001003AE" w:rsidP="001003AE">
      <w:pPr>
        <w:contextualSpacing/>
        <w:jc w:val="center"/>
        <w:outlineLvl w:val="0"/>
        <w:rPr>
          <w:b/>
        </w:rPr>
      </w:pPr>
      <w:bookmarkStart w:id="0" w:name="_GoBack"/>
      <w:bookmarkEnd w:id="0"/>
    </w:p>
    <w:p w14:paraId="37B28CE3" w14:textId="77777777" w:rsidR="001003AE" w:rsidRDefault="001003AE" w:rsidP="001003AE">
      <w:pPr>
        <w:contextualSpacing/>
        <w:jc w:val="center"/>
        <w:outlineLvl w:val="0"/>
        <w:rPr>
          <w:b/>
        </w:rPr>
      </w:pPr>
    </w:p>
    <w:p w14:paraId="26B00F92" w14:textId="77777777" w:rsidR="001003AE" w:rsidRDefault="001003AE" w:rsidP="00642502">
      <w:pPr>
        <w:contextualSpacing/>
        <w:jc w:val="both"/>
        <w:rPr>
          <w:b/>
        </w:rPr>
      </w:pPr>
    </w:p>
    <w:p w14:paraId="16B7728E" w14:textId="77777777" w:rsidR="00776199" w:rsidRDefault="00776199" w:rsidP="00642502">
      <w:pPr>
        <w:contextualSpacing/>
        <w:jc w:val="both"/>
        <w:rPr>
          <w:b/>
        </w:rPr>
      </w:pPr>
    </w:p>
    <w:p w14:paraId="3EB2E055" w14:textId="1C61BE73" w:rsidR="005A11EC" w:rsidRDefault="00D73682" w:rsidP="0024320D">
      <w:pPr>
        <w:contextualSpacing/>
        <w:jc w:val="center"/>
        <w:outlineLvl w:val="0"/>
        <w:rPr>
          <w:b/>
        </w:rPr>
      </w:pPr>
      <w:r>
        <w:rPr>
          <w:b/>
        </w:rPr>
        <w:t>AB</w:t>
      </w:r>
      <w:r w:rsidR="003F6F91">
        <w:rPr>
          <w:b/>
        </w:rPr>
        <w:t>STRACT</w:t>
      </w:r>
    </w:p>
    <w:p w14:paraId="5D09C5EE" w14:textId="77777777" w:rsidR="00DE3218" w:rsidRDefault="00DE3218" w:rsidP="00642502">
      <w:pPr>
        <w:contextualSpacing/>
        <w:jc w:val="both"/>
      </w:pPr>
    </w:p>
    <w:p w14:paraId="5AAF4290" w14:textId="2908A37F" w:rsidR="003F6F91" w:rsidRPr="00790773" w:rsidRDefault="00D73682" w:rsidP="00642502">
      <w:pPr>
        <w:contextualSpacing/>
        <w:jc w:val="both"/>
        <w:rPr>
          <w:i/>
        </w:rPr>
      </w:pPr>
      <w:r w:rsidRPr="00790773">
        <w:rPr>
          <w:i/>
        </w:rPr>
        <w:t xml:space="preserve">This study explores </w:t>
      </w:r>
      <w:r w:rsidR="001528D7" w:rsidRPr="00790773">
        <w:rPr>
          <w:i/>
        </w:rPr>
        <w:t xml:space="preserve">the </w:t>
      </w:r>
      <w:r w:rsidR="00051CDF" w:rsidRPr="00790773">
        <w:rPr>
          <w:i/>
        </w:rPr>
        <w:t>progress of</w:t>
      </w:r>
      <w:r w:rsidR="00E30EC8">
        <w:rPr>
          <w:i/>
        </w:rPr>
        <w:t xml:space="preserve"> the</w:t>
      </w:r>
      <w:r w:rsidR="00051CDF" w:rsidRPr="00790773">
        <w:rPr>
          <w:i/>
        </w:rPr>
        <w:t xml:space="preserve"> 14-year old Bologna reform in </w:t>
      </w:r>
      <w:r w:rsidR="00826BFA">
        <w:rPr>
          <w:i/>
        </w:rPr>
        <w:t>major</w:t>
      </w:r>
      <w:r w:rsidR="00826BFA" w:rsidRPr="00790773">
        <w:rPr>
          <w:i/>
        </w:rPr>
        <w:t xml:space="preserve"> </w:t>
      </w:r>
      <w:r w:rsidR="00051CDF" w:rsidRPr="00790773">
        <w:rPr>
          <w:i/>
        </w:rPr>
        <w:t>Azerbaijani public universities.</w:t>
      </w:r>
      <w:r w:rsidR="00826BFA">
        <w:rPr>
          <w:i/>
        </w:rPr>
        <w:t xml:space="preserve"> The focus of the st</w:t>
      </w:r>
      <w:r w:rsidR="00374C51">
        <w:rPr>
          <w:i/>
        </w:rPr>
        <w:t>u</w:t>
      </w:r>
      <w:r w:rsidR="00826BFA">
        <w:rPr>
          <w:i/>
        </w:rPr>
        <w:t>dy was to investigate</w:t>
      </w:r>
      <w:r w:rsidR="00051CDF" w:rsidRPr="00790773">
        <w:rPr>
          <w:i/>
        </w:rPr>
        <w:t xml:space="preserve"> the </w:t>
      </w:r>
      <w:r w:rsidR="001528D7" w:rsidRPr="00790773">
        <w:rPr>
          <w:i/>
        </w:rPr>
        <w:t xml:space="preserve">level of </w:t>
      </w:r>
      <w:r w:rsidR="00DE3218" w:rsidRPr="00790773">
        <w:rPr>
          <w:i/>
        </w:rPr>
        <w:t xml:space="preserve">student </w:t>
      </w:r>
      <w:r w:rsidR="001528D7" w:rsidRPr="00790773">
        <w:rPr>
          <w:i/>
        </w:rPr>
        <w:t xml:space="preserve">involvement </w:t>
      </w:r>
      <w:r w:rsidR="007C3DC4" w:rsidRPr="00790773">
        <w:rPr>
          <w:i/>
        </w:rPr>
        <w:t>in the</w:t>
      </w:r>
      <w:r w:rsidR="00DE3218" w:rsidRPr="00790773">
        <w:rPr>
          <w:i/>
        </w:rPr>
        <w:t xml:space="preserve"> </w:t>
      </w:r>
      <w:r w:rsidR="004862D7">
        <w:rPr>
          <w:i/>
        </w:rPr>
        <w:t>transformation</w:t>
      </w:r>
      <w:r w:rsidR="00DE3218" w:rsidRPr="00790773">
        <w:rPr>
          <w:i/>
        </w:rPr>
        <w:t xml:space="preserve"> </w:t>
      </w:r>
      <w:r w:rsidR="00E00794" w:rsidRPr="00790773">
        <w:rPr>
          <w:i/>
        </w:rPr>
        <w:t>process</w:t>
      </w:r>
      <w:r w:rsidR="004862D7">
        <w:rPr>
          <w:i/>
        </w:rPr>
        <w:t xml:space="preserve"> </w:t>
      </w:r>
      <w:r w:rsidR="007B12AE">
        <w:rPr>
          <w:i/>
        </w:rPr>
        <w:t xml:space="preserve">of </w:t>
      </w:r>
      <w:r w:rsidR="00E30EC8">
        <w:rPr>
          <w:i/>
        </w:rPr>
        <w:t xml:space="preserve">the </w:t>
      </w:r>
      <w:r w:rsidR="004862D7">
        <w:rPr>
          <w:i/>
        </w:rPr>
        <w:t>E</w:t>
      </w:r>
      <w:r w:rsidR="003F6F91">
        <w:rPr>
          <w:i/>
        </w:rPr>
        <w:t xml:space="preserve">uropean Higher Education Area. </w:t>
      </w:r>
      <w:r w:rsidR="00531BC4" w:rsidRPr="00790773">
        <w:rPr>
          <w:i/>
        </w:rPr>
        <w:t xml:space="preserve">The data for the research were collected from </w:t>
      </w:r>
      <w:r w:rsidR="007B12AE">
        <w:rPr>
          <w:i/>
        </w:rPr>
        <w:t xml:space="preserve">a </w:t>
      </w:r>
      <w:r w:rsidR="00531BC4" w:rsidRPr="00790773">
        <w:rPr>
          <w:i/>
        </w:rPr>
        <w:t xml:space="preserve">survey </w:t>
      </w:r>
      <w:r w:rsidR="00E30EC8">
        <w:rPr>
          <w:i/>
        </w:rPr>
        <w:t xml:space="preserve">conducted </w:t>
      </w:r>
      <w:r w:rsidR="00531BC4" w:rsidRPr="00790773">
        <w:rPr>
          <w:i/>
        </w:rPr>
        <w:t xml:space="preserve">among </w:t>
      </w:r>
      <w:r w:rsidR="001940DB" w:rsidRPr="00790773">
        <w:rPr>
          <w:i/>
        </w:rPr>
        <w:t>2</w:t>
      </w:r>
      <w:r w:rsidR="00826BFA">
        <w:rPr>
          <w:i/>
        </w:rPr>
        <w:t>,</w:t>
      </w:r>
      <w:r w:rsidR="001940DB" w:rsidRPr="00790773">
        <w:rPr>
          <w:i/>
        </w:rPr>
        <w:t xml:space="preserve">400 </w:t>
      </w:r>
      <w:r w:rsidR="00826BFA">
        <w:rPr>
          <w:i/>
        </w:rPr>
        <w:t>b</w:t>
      </w:r>
      <w:r w:rsidR="001940DB" w:rsidRPr="00790773">
        <w:rPr>
          <w:i/>
        </w:rPr>
        <w:t>achelor</w:t>
      </w:r>
      <w:r w:rsidR="007B12AE">
        <w:rPr>
          <w:i/>
        </w:rPr>
        <w:t>’s</w:t>
      </w:r>
      <w:r w:rsidR="001940DB" w:rsidRPr="00790773">
        <w:rPr>
          <w:i/>
        </w:rPr>
        <w:t xml:space="preserve"> and </w:t>
      </w:r>
      <w:r w:rsidR="00826BFA">
        <w:rPr>
          <w:i/>
        </w:rPr>
        <w:t>m</w:t>
      </w:r>
      <w:r w:rsidR="001940DB" w:rsidRPr="00790773">
        <w:rPr>
          <w:i/>
        </w:rPr>
        <w:t>aster</w:t>
      </w:r>
      <w:r w:rsidR="007B12AE">
        <w:rPr>
          <w:i/>
        </w:rPr>
        <w:t>’s</w:t>
      </w:r>
      <w:r w:rsidR="001940DB" w:rsidRPr="00790773">
        <w:rPr>
          <w:i/>
        </w:rPr>
        <w:t xml:space="preserve"> students</w:t>
      </w:r>
      <w:r w:rsidR="00826BFA">
        <w:rPr>
          <w:i/>
        </w:rPr>
        <w:t>,</w:t>
      </w:r>
      <w:r w:rsidR="00195F32" w:rsidRPr="00790773">
        <w:rPr>
          <w:i/>
        </w:rPr>
        <w:t xml:space="preserve"> </w:t>
      </w:r>
      <w:r w:rsidR="003F6F91">
        <w:rPr>
          <w:i/>
        </w:rPr>
        <w:t>as well as through</w:t>
      </w:r>
      <w:r w:rsidR="003F6F91" w:rsidRPr="00790773">
        <w:rPr>
          <w:i/>
        </w:rPr>
        <w:t xml:space="preserve"> </w:t>
      </w:r>
      <w:r w:rsidR="00195F32" w:rsidRPr="00790773">
        <w:rPr>
          <w:i/>
        </w:rPr>
        <w:t xml:space="preserve">semi-structured </w:t>
      </w:r>
      <w:r w:rsidR="002B67A6" w:rsidRPr="00790773">
        <w:rPr>
          <w:i/>
        </w:rPr>
        <w:t xml:space="preserve">interviews with university </w:t>
      </w:r>
      <w:r w:rsidR="006B7E0B" w:rsidRPr="00790773">
        <w:rPr>
          <w:i/>
        </w:rPr>
        <w:t>administrators</w:t>
      </w:r>
      <w:r w:rsidR="001A6CC5">
        <w:rPr>
          <w:i/>
        </w:rPr>
        <w:t xml:space="preserve"> and expert</w:t>
      </w:r>
      <w:r w:rsidR="00820AC5">
        <w:rPr>
          <w:i/>
        </w:rPr>
        <w:t>s</w:t>
      </w:r>
      <w:r w:rsidR="002B67A6" w:rsidRPr="00790773">
        <w:rPr>
          <w:i/>
        </w:rPr>
        <w:t xml:space="preserve">. </w:t>
      </w:r>
      <w:r w:rsidR="002C5402" w:rsidRPr="00790773">
        <w:rPr>
          <w:i/>
        </w:rPr>
        <w:t xml:space="preserve">The study mainly </w:t>
      </w:r>
      <w:r w:rsidR="00156050" w:rsidRPr="00790773">
        <w:rPr>
          <w:i/>
        </w:rPr>
        <w:t xml:space="preserve">examines </w:t>
      </w:r>
      <w:r w:rsidR="00CC0B64" w:rsidRPr="00790773">
        <w:rPr>
          <w:i/>
        </w:rPr>
        <w:t xml:space="preserve">the </w:t>
      </w:r>
      <w:r w:rsidR="00606EBB" w:rsidRPr="00790773">
        <w:rPr>
          <w:i/>
        </w:rPr>
        <w:t xml:space="preserve">key elements </w:t>
      </w:r>
      <w:r w:rsidR="000042E5" w:rsidRPr="00790773">
        <w:rPr>
          <w:i/>
        </w:rPr>
        <w:t xml:space="preserve">of Bologna process </w:t>
      </w:r>
      <w:r w:rsidR="00255888" w:rsidRPr="00790773">
        <w:rPr>
          <w:i/>
        </w:rPr>
        <w:t>–</w:t>
      </w:r>
      <w:r w:rsidR="000042E5" w:rsidRPr="00790773">
        <w:rPr>
          <w:i/>
        </w:rPr>
        <w:t xml:space="preserve"> </w:t>
      </w:r>
      <w:r w:rsidR="00255888" w:rsidRPr="00790773">
        <w:rPr>
          <w:i/>
        </w:rPr>
        <w:t xml:space="preserve">degree structure, quality assurance, mobility, and </w:t>
      </w:r>
      <w:r w:rsidR="00A22044">
        <w:rPr>
          <w:i/>
        </w:rPr>
        <w:t xml:space="preserve">social dimension. </w:t>
      </w:r>
      <w:r w:rsidR="00A22044" w:rsidRPr="00EE1A55">
        <w:rPr>
          <w:i/>
          <w:color w:val="000000" w:themeColor="text1"/>
        </w:rPr>
        <w:t>The</w:t>
      </w:r>
      <w:r w:rsidR="003F6F91">
        <w:rPr>
          <w:i/>
          <w:color w:val="000000" w:themeColor="text1"/>
        </w:rPr>
        <w:t xml:space="preserve"> study found </w:t>
      </w:r>
      <w:r w:rsidR="00A22044" w:rsidRPr="00EE1A55">
        <w:rPr>
          <w:i/>
          <w:color w:val="000000" w:themeColor="text1"/>
        </w:rPr>
        <w:t xml:space="preserve">that </w:t>
      </w:r>
      <w:r w:rsidR="003F6F91">
        <w:rPr>
          <w:i/>
          <w:color w:val="000000" w:themeColor="text1"/>
        </w:rPr>
        <w:t xml:space="preserve">despite the </w:t>
      </w:r>
      <w:r w:rsidR="00454853" w:rsidRPr="00EE1A55">
        <w:rPr>
          <w:i/>
          <w:color w:val="000000" w:themeColor="text1"/>
        </w:rPr>
        <w:t xml:space="preserve">remarkable progress in the development </w:t>
      </w:r>
      <w:r w:rsidR="00A17698">
        <w:rPr>
          <w:i/>
          <w:color w:val="000000" w:themeColor="text1"/>
        </w:rPr>
        <w:t xml:space="preserve">of </w:t>
      </w:r>
      <w:r w:rsidR="00454853" w:rsidRPr="00EE1A55">
        <w:rPr>
          <w:i/>
          <w:color w:val="000000" w:themeColor="text1"/>
        </w:rPr>
        <w:t>higher education</w:t>
      </w:r>
      <w:r w:rsidR="00C712E7" w:rsidRPr="00EE1A55">
        <w:rPr>
          <w:i/>
          <w:color w:val="000000" w:themeColor="text1"/>
        </w:rPr>
        <w:t xml:space="preserve"> system</w:t>
      </w:r>
      <w:r w:rsidR="003F6F91">
        <w:rPr>
          <w:i/>
          <w:color w:val="000000" w:themeColor="text1"/>
        </w:rPr>
        <w:t xml:space="preserve"> in the country</w:t>
      </w:r>
      <w:r w:rsidR="003608BD" w:rsidRPr="00EE1A55">
        <w:rPr>
          <w:i/>
          <w:color w:val="000000" w:themeColor="text1"/>
        </w:rPr>
        <w:t xml:space="preserve">, </w:t>
      </w:r>
      <w:r w:rsidR="0061191A">
        <w:rPr>
          <w:i/>
        </w:rPr>
        <w:t>much</w:t>
      </w:r>
      <w:r w:rsidR="000D44C3">
        <w:rPr>
          <w:i/>
        </w:rPr>
        <w:t xml:space="preserve"> work still needs to be done at </w:t>
      </w:r>
      <w:r w:rsidR="00E30EC8">
        <w:rPr>
          <w:i/>
        </w:rPr>
        <w:t>the</w:t>
      </w:r>
      <w:r w:rsidR="000D44C3">
        <w:rPr>
          <w:i/>
        </w:rPr>
        <w:t xml:space="preserve"> institutional level to involve students in all stages of </w:t>
      </w:r>
      <w:r w:rsidR="00E30EC8">
        <w:rPr>
          <w:i/>
        </w:rPr>
        <w:t xml:space="preserve">the </w:t>
      </w:r>
      <w:r w:rsidR="000D44C3">
        <w:rPr>
          <w:i/>
        </w:rPr>
        <w:t xml:space="preserve">reform process. </w:t>
      </w:r>
      <w:r w:rsidR="003F6F91">
        <w:rPr>
          <w:i/>
        </w:rPr>
        <w:t>Huge discrepanc</w:t>
      </w:r>
      <w:r w:rsidR="00A37E1A">
        <w:rPr>
          <w:i/>
        </w:rPr>
        <w:t>ies</w:t>
      </w:r>
      <w:r w:rsidR="003F6F91">
        <w:rPr>
          <w:i/>
        </w:rPr>
        <w:t xml:space="preserve"> and shortage</w:t>
      </w:r>
      <w:r w:rsidR="00A37E1A">
        <w:rPr>
          <w:i/>
        </w:rPr>
        <w:t>s</w:t>
      </w:r>
      <w:r w:rsidR="003F6F91">
        <w:rPr>
          <w:i/>
        </w:rPr>
        <w:t xml:space="preserve"> </w:t>
      </w:r>
      <w:r w:rsidR="00A37E1A">
        <w:rPr>
          <w:i/>
        </w:rPr>
        <w:t>are</w:t>
      </w:r>
      <w:r w:rsidR="00F964B4">
        <w:rPr>
          <w:i/>
        </w:rPr>
        <w:t xml:space="preserve"> observed with respect to the</w:t>
      </w:r>
      <w:r w:rsidR="00D362F9">
        <w:rPr>
          <w:i/>
        </w:rPr>
        <w:t xml:space="preserve"> </w:t>
      </w:r>
      <w:r w:rsidR="000D44C3">
        <w:rPr>
          <w:i/>
        </w:rPr>
        <w:t xml:space="preserve">role of students in the quality assurance process both </w:t>
      </w:r>
      <w:r w:rsidR="00E30EC8">
        <w:rPr>
          <w:i/>
        </w:rPr>
        <w:t>at the</w:t>
      </w:r>
      <w:r w:rsidR="00C01C3D">
        <w:rPr>
          <w:i/>
        </w:rPr>
        <w:t xml:space="preserve"> external and internal level. </w:t>
      </w:r>
      <w:r w:rsidR="00F964B4">
        <w:rPr>
          <w:i/>
        </w:rPr>
        <w:t xml:space="preserve">In terms of </w:t>
      </w:r>
      <w:r w:rsidR="000D44C3">
        <w:rPr>
          <w:i/>
        </w:rPr>
        <w:t xml:space="preserve">the internationalization of </w:t>
      </w:r>
      <w:r w:rsidR="00AB00FE">
        <w:rPr>
          <w:i/>
        </w:rPr>
        <w:t>institutions, formal strategies and targets</w:t>
      </w:r>
      <w:r w:rsidR="00A37E1A">
        <w:rPr>
          <w:i/>
        </w:rPr>
        <w:t>,</w:t>
      </w:r>
      <w:r w:rsidR="00AB00FE">
        <w:rPr>
          <w:i/>
        </w:rPr>
        <w:t xml:space="preserve"> as well as </w:t>
      </w:r>
      <w:r w:rsidR="0018467C">
        <w:rPr>
          <w:i/>
        </w:rPr>
        <w:t>sufficient funding</w:t>
      </w:r>
      <w:r w:rsidR="00A37E1A">
        <w:rPr>
          <w:i/>
        </w:rPr>
        <w:t>,</w:t>
      </w:r>
      <w:r w:rsidR="00F964B4">
        <w:rPr>
          <w:i/>
        </w:rPr>
        <w:t xml:space="preserve"> are not yet fully existent in </w:t>
      </w:r>
      <w:r w:rsidR="003F6F91">
        <w:rPr>
          <w:i/>
        </w:rPr>
        <w:t xml:space="preserve">higher education institutions. </w:t>
      </w:r>
      <w:r w:rsidR="00C01C3D">
        <w:rPr>
          <w:i/>
        </w:rPr>
        <w:t xml:space="preserve"> </w:t>
      </w:r>
      <w:r w:rsidR="003F6F91">
        <w:rPr>
          <w:i/>
        </w:rPr>
        <w:t>Meanwhile,</w:t>
      </w:r>
      <w:r w:rsidR="00C01C3D">
        <w:rPr>
          <w:i/>
        </w:rPr>
        <w:t xml:space="preserve"> </w:t>
      </w:r>
      <w:r w:rsidR="008A71F0">
        <w:rPr>
          <w:i/>
        </w:rPr>
        <w:t>students in the chosen universities</w:t>
      </w:r>
      <w:r w:rsidR="00C01C3D">
        <w:rPr>
          <w:i/>
        </w:rPr>
        <w:t xml:space="preserve"> </w:t>
      </w:r>
      <w:r w:rsidR="008A71F0">
        <w:rPr>
          <w:i/>
        </w:rPr>
        <w:t xml:space="preserve">are </w:t>
      </w:r>
      <w:r w:rsidR="003F6F91">
        <w:rPr>
          <w:i/>
        </w:rPr>
        <w:t xml:space="preserve">either unaware </w:t>
      </w:r>
      <w:r w:rsidR="00A37E1A">
        <w:rPr>
          <w:i/>
        </w:rPr>
        <w:t xml:space="preserve">of </w:t>
      </w:r>
      <w:r w:rsidR="008A71F0">
        <w:rPr>
          <w:i/>
        </w:rPr>
        <w:t>student support services</w:t>
      </w:r>
      <w:r w:rsidR="003F6F91">
        <w:rPr>
          <w:i/>
        </w:rPr>
        <w:t xml:space="preserve"> or unsatisfied with </w:t>
      </w:r>
      <w:r w:rsidR="00E30EC8">
        <w:rPr>
          <w:i/>
        </w:rPr>
        <w:t xml:space="preserve">the </w:t>
      </w:r>
      <w:r w:rsidR="003F6F91">
        <w:rPr>
          <w:i/>
        </w:rPr>
        <w:t xml:space="preserve">provision of </w:t>
      </w:r>
      <w:r w:rsidR="004E4F66">
        <w:rPr>
          <w:i/>
        </w:rPr>
        <w:t xml:space="preserve">those </w:t>
      </w:r>
      <w:r w:rsidR="003F6F91">
        <w:rPr>
          <w:i/>
        </w:rPr>
        <w:t xml:space="preserve">services. </w:t>
      </w:r>
    </w:p>
    <w:p w14:paraId="3C7C2DE3" w14:textId="77777777" w:rsidR="005A11EC" w:rsidRDefault="005A11EC" w:rsidP="00642502">
      <w:pPr>
        <w:contextualSpacing/>
        <w:jc w:val="both"/>
        <w:rPr>
          <w:b/>
        </w:rPr>
      </w:pPr>
    </w:p>
    <w:p w14:paraId="0812033A" w14:textId="74144959" w:rsidR="00776199" w:rsidRPr="00F27F43" w:rsidRDefault="00F27F43" w:rsidP="00642502">
      <w:pPr>
        <w:contextualSpacing/>
        <w:jc w:val="both"/>
        <w:rPr>
          <w:i/>
        </w:rPr>
      </w:pPr>
      <w:r>
        <w:rPr>
          <w:b/>
        </w:rPr>
        <w:t xml:space="preserve">Key words: </w:t>
      </w:r>
      <w:r w:rsidR="003539CE">
        <w:rPr>
          <w:i/>
        </w:rPr>
        <w:t xml:space="preserve">Bologna </w:t>
      </w:r>
      <w:r w:rsidR="00ED13F3">
        <w:rPr>
          <w:i/>
        </w:rPr>
        <w:t>proces</w:t>
      </w:r>
      <w:r w:rsidR="003539CE">
        <w:rPr>
          <w:i/>
        </w:rPr>
        <w:t>s</w:t>
      </w:r>
      <w:r w:rsidR="00ED13F3">
        <w:rPr>
          <w:i/>
        </w:rPr>
        <w:t xml:space="preserve"> in Azerbaijan</w:t>
      </w:r>
      <w:r w:rsidR="003539CE">
        <w:rPr>
          <w:i/>
        </w:rPr>
        <w:t xml:space="preserve">, </w:t>
      </w:r>
      <w:r w:rsidR="00CE2878">
        <w:rPr>
          <w:i/>
        </w:rPr>
        <w:t xml:space="preserve">student involvement, </w:t>
      </w:r>
      <w:r w:rsidR="00C01C3D">
        <w:rPr>
          <w:i/>
        </w:rPr>
        <w:t xml:space="preserve">degree structure, quality assurance, </w:t>
      </w:r>
      <w:r w:rsidR="00F75EA0">
        <w:rPr>
          <w:i/>
        </w:rPr>
        <w:t>internationalization, social dimension</w:t>
      </w:r>
    </w:p>
    <w:p w14:paraId="36127CE5" w14:textId="77777777" w:rsidR="00776199" w:rsidRDefault="00776199" w:rsidP="00642502">
      <w:pPr>
        <w:contextualSpacing/>
        <w:jc w:val="both"/>
        <w:rPr>
          <w:b/>
        </w:rPr>
      </w:pPr>
    </w:p>
    <w:p w14:paraId="7E4E3933" w14:textId="77777777" w:rsidR="00776199" w:rsidRDefault="00776199" w:rsidP="00642502">
      <w:pPr>
        <w:contextualSpacing/>
        <w:jc w:val="both"/>
        <w:rPr>
          <w:b/>
        </w:rPr>
      </w:pPr>
    </w:p>
    <w:p w14:paraId="19F55BD5" w14:textId="77777777" w:rsidR="00776199" w:rsidRDefault="00776199" w:rsidP="00642502">
      <w:pPr>
        <w:contextualSpacing/>
        <w:jc w:val="both"/>
        <w:rPr>
          <w:b/>
        </w:rPr>
      </w:pPr>
    </w:p>
    <w:p w14:paraId="74D0A90E" w14:textId="77777777" w:rsidR="00776199" w:rsidRDefault="00776199" w:rsidP="00642502">
      <w:pPr>
        <w:contextualSpacing/>
        <w:jc w:val="both"/>
        <w:rPr>
          <w:b/>
        </w:rPr>
      </w:pPr>
    </w:p>
    <w:p w14:paraId="03F28483" w14:textId="77777777" w:rsidR="00776199" w:rsidRDefault="00776199" w:rsidP="00642502">
      <w:pPr>
        <w:contextualSpacing/>
        <w:jc w:val="both"/>
        <w:rPr>
          <w:b/>
        </w:rPr>
      </w:pPr>
    </w:p>
    <w:p w14:paraId="09D243F9" w14:textId="77777777" w:rsidR="00776199" w:rsidRDefault="00776199" w:rsidP="00642502">
      <w:pPr>
        <w:contextualSpacing/>
        <w:jc w:val="both"/>
        <w:rPr>
          <w:b/>
        </w:rPr>
      </w:pPr>
    </w:p>
    <w:p w14:paraId="62866BA4" w14:textId="77777777" w:rsidR="00776199" w:rsidRDefault="00776199" w:rsidP="00642502">
      <w:pPr>
        <w:contextualSpacing/>
        <w:jc w:val="both"/>
        <w:rPr>
          <w:b/>
        </w:rPr>
      </w:pPr>
    </w:p>
    <w:p w14:paraId="59DC57A8" w14:textId="77777777" w:rsidR="00776199" w:rsidRDefault="00776199" w:rsidP="00642502">
      <w:pPr>
        <w:contextualSpacing/>
        <w:jc w:val="both"/>
        <w:rPr>
          <w:b/>
        </w:rPr>
      </w:pPr>
    </w:p>
    <w:p w14:paraId="751BA324" w14:textId="77777777" w:rsidR="00776199" w:rsidRDefault="00776199" w:rsidP="00642502">
      <w:pPr>
        <w:contextualSpacing/>
        <w:jc w:val="both"/>
        <w:rPr>
          <w:b/>
        </w:rPr>
      </w:pPr>
    </w:p>
    <w:p w14:paraId="5520E561" w14:textId="77777777" w:rsidR="00776199" w:rsidRDefault="00776199" w:rsidP="00642502">
      <w:pPr>
        <w:contextualSpacing/>
        <w:jc w:val="both"/>
        <w:rPr>
          <w:b/>
        </w:rPr>
      </w:pPr>
    </w:p>
    <w:p w14:paraId="21E49016" w14:textId="5C936C4D" w:rsidR="00912150" w:rsidRPr="009D6CBA" w:rsidRDefault="003F6C84" w:rsidP="0024320D">
      <w:pPr>
        <w:contextualSpacing/>
        <w:jc w:val="both"/>
        <w:outlineLvl w:val="0"/>
        <w:rPr>
          <w:b/>
        </w:rPr>
      </w:pPr>
      <w:r>
        <w:rPr>
          <w:b/>
        </w:rPr>
        <w:t xml:space="preserve">            </w:t>
      </w:r>
      <w:r w:rsidR="00456BDD">
        <w:rPr>
          <w:b/>
        </w:rPr>
        <w:t>Introduction</w:t>
      </w:r>
    </w:p>
    <w:p w14:paraId="64FCDC1B" w14:textId="77777777" w:rsidR="001540E8" w:rsidRPr="000B76C0" w:rsidRDefault="001540E8" w:rsidP="00642502">
      <w:pPr>
        <w:ind w:firstLine="720"/>
        <w:contextualSpacing/>
        <w:jc w:val="both"/>
      </w:pPr>
    </w:p>
    <w:p w14:paraId="513B1DA5" w14:textId="0E6AD866" w:rsidR="003F6F91" w:rsidRDefault="000B76C0" w:rsidP="003F6C84">
      <w:pPr>
        <w:widowControl w:val="0"/>
        <w:autoSpaceDE w:val="0"/>
        <w:autoSpaceDN w:val="0"/>
        <w:adjustRightInd w:val="0"/>
        <w:snapToGrid w:val="0"/>
        <w:spacing w:after="100" w:afterAutospacing="1"/>
        <w:ind w:left="720"/>
        <w:contextualSpacing/>
        <w:jc w:val="both"/>
      </w:pPr>
      <w:r>
        <w:t xml:space="preserve">     </w:t>
      </w:r>
      <w:r w:rsidR="007F698F">
        <w:tab/>
      </w:r>
      <w:r w:rsidR="00E30EC8">
        <w:t xml:space="preserve">Immediately </w:t>
      </w:r>
      <w:r w:rsidR="009D6CBA">
        <w:t xml:space="preserve">after gaining independence in 1991, </w:t>
      </w:r>
      <w:r w:rsidR="00B96319">
        <w:t>improving</w:t>
      </w:r>
      <w:r w:rsidR="00E30EC8">
        <w:t xml:space="preserve"> the</w:t>
      </w:r>
      <w:r w:rsidR="00B96319">
        <w:t xml:space="preserve"> education sector and enhancing </w:t>
      </w:r>
      <w:r w:rsidR="003F6F91">
        <w:t xml:space="preserve">its quality </w:t>
      </w:r>
      <w:r w:rsidR="00B96319">
        <w:t>has become one of the top priori</w:t>
      </w:r>
      <w:r w:rsidR="001805A7">
        <w:t>ti</w:t>
      </w:r>
      <w:r w:rsidR="00B96319">
        <w:t xml:space="preserve">es </w:t>
      </w:r>
      <w:r w:rsidR="00E3571E">
        <w:t xml:space="preserve">in </w:t>
      </w:r>
      <w:r w:rsidR="003F6F91">
        <w:t>Azerbaijan.</w:t>
      </w:r>
      <w:r w:rsidR="00E3571E">
        <w:t xml:space="preserve"> </w:t>
      </w:r>
      <w:r w:rsidR="007F698F">
        <w:t xml:space="preserve">As every other country in </w:t>
      </w:r>
      <w:r w:rsidR="003F6F91">
        <w:t xml:space="preserve">post-Soviet Eurasia, </w:t>
      </w:r>
      <w:r w:rsidR="00B22071" w:rsidRPr="00E3571E">
        <w:t>Azerbaijan</w:t>
      </w:r>
      <w:r w:rsidR="007F698F">
        <w:t xml:space="preserve"> </w:t>
      </w:r>
      <w:r w:rsidR="009D6CBA" w:rsidRPr="00E3571E">
        <w:t xml:space="preserve">inherited </w:t>
      </w:r>
      <w:r w:rsidR="007F698F">
        <w:t xml:space="preserve">the </w:t>
      </w:r>
      <w:r w:rsidR="00B22071" w:rsidRPr="00E3571E">
        <w:t>Soviet education</w:t>
      </w:r>
      <w:r w:rsidR="009D6CBA" w:rsidRPr="00E3571E">
        <w:t>al</w:t>
      </w:r>
      <w:r w:rsidR="00B129C7" w:rsidRPr="00E3571E">
        <w:t xml:space="preserve"> system</w:t>
      </w:r>
      <w:r w:rsidR="007F698F">
        <w:t xml:space="preserve"> that had </w:t>
      </w:r>
      <w:r w:rsidR="00E30EC8">
        <w:t xml:space="preserve">long </w:t>
      </w:r>
      <w:r w:rsidR="00A37E1A">
        <w:t>faced</w:t>
      </w:r>
      <w:r w:rsidR="003F6F91">
        <w:t xml:space="preserve"> problems.</w:t>
      </w:r>
      <w:r w:rsidR="00CF0901" w:rsidRPr="00CF0901">
        <w:rPr>
          <w:rFonts w:eastAsia="Times New Roman"/>
        </w:rPr>
        <w:t xml:space="preserve"> </w:t>
      </w:r>
      <w:r w:rsidR="00711911">
        <w:rPr>
          <w:rFonts w:eastAsia="Times New Roman"/>
        </w:rPr>
        <w:t>“</w:t>
      </w:r>
      <w:r w:rsidR="00CF0901" w:rsidRPr="00CF0901">
        <w:rPr>
          <w:rFonts w:eastAsia="Times New Roman"/>
        </w:rPr>
        <w:t xml:space="preserve">Higher education </w:t>
      </w:r>
      <w:r w:rsidR="00901473">
        <w:rPr>
          <w:rFonts w:eastAsia="Times New Roman"/>
        </w:rPr>
        <w:t xml:space="preserve">(at that period) </w:t>
      </w:r>
      <w:r w:rsidR="00CF0901" w:rsidRPr="00CF0901">
        <w:rPr>
          <w:rFonts w:eastAsia="Times New Roman"/>
        </w:rPr>
        <w:t>reflected the ideological and industrial aims of the Soviet regime and functioned to meet its socio-economic needs</w:t>
      </w:r>
      <w:r w:rsidR="00711911">
        <w:rPr>
          <w:rFonts w:eastAsia="Times New Roman"/>
        </w:rPr>
        <w:t>” (</w:t>
      </w:r>
      <w:proofErr w:type="spellStart"/>
      <w:r w:rsidR="00901473" w:rsidRPr="00901473">
        <w:rPr>
          <w:rFonts w:eastAsia="Times New Roman"/>
        </w:rPr>
        <w:t>Ahn</w:t>
      </w:r>
      <w:proofErr w:type="spellEnd"/>
      <w:r w:rsidR="002E2D6C">
        <w:rPr>
          <w:rFonts w:eastAsia="Times New Roman"/>
        </w:rPr>
        <w:t>,</w:t>
      </w:r>
      <w:r w:rsidR="00901473" w:rsidRPr="00901473">
        <w:rPr>
          <w:rFonts w:eastAsia="Times New Roman"/>
        </w:rPr>
        <w:t xml:space="preserve"> </w:t>
      </w:r>
      <w:r w:rsidR="00901473">
        <w:rPr>
          <w:rFonts w:eastAsia="Times New Roman"/>
        </w:rPr>
        <w:t>E.S.</w:t>
      </w:r>
      <w:r w:rsidR="00792233">
        <w:rPr>
          <w:rFonts w:eastAsia="Times New Roman"/>
        </w:rPr>
        <w:t>,</w:t>
      </w:r>
      <w:r w:rsidR="001B07BB">
        <w:rPr>
          <w:rFonts w:eastAsia="Times New Roman"/>
        </w:rPr>
        <w:t xml:space="preserve"> </w:t>
      </w:r>
      <w:r w:rsidR="00901473">
        <w:rPr>
          <w:rFonts w:eastAsia="Times New Roman"/>
        </w:rPr>
        <w:t xml:space="preserve">2016, </w:t>
      </w:r>
      <w:r w:rsidR="00711911">
        <w:rPr>
          <w:rFonts w:eastAsia="Times New Roman"/>
        </w:rPr>
        <w:t>p.8)</w:t>
      </w:r>
      <w:r w:rsidR="001070B4">
        <w:rPr>
          <w:rFonts w:eastAsia="Times New Roman"/>
        </w:rPr>
        <w:t xml:space="preserve">. </w:t>
      </w:r>
      <w:r w:rsidR="009D6CBA" w:rsidRPr="00E3571E">
        <w:t>Beyond of the u</w:t>
      </w:r>
      <w:r w:rsidR="001B07BB">
        <w:t>se of</w:t>
      </w:r>
      <w:r w:rsidR="009D6CBA" w:rsidRPr="00E3571E">
        <w:t xml:space="preserve"> teaching materials, textbooks or pedagogy left</w:t>
      </w:r>
      <w:r w:rsidR="001B07BB">
        <w:t xml:space="preserve">over </w:t>
      </w:r>
      <w:r w:rsidR="009D6CBA" w:rsidRPr="00E3571E">
        <w:t xml:space="preserve">from </w:t>
      </w:r>
      <w:r w:rsidR="001B07BB">
        <w:t>former</w:t>
      </w:r>
      <w:r w:rsidR="007F698F" w:rsidRPr="00E3571E">
        <w:t xml:space="preserve"> </w:t>
      </w:r>
      <w:r w:rsidR="009D6CBA" w:rsidRPr="00E3571E">
        <w:t xml:space="preserve">times, </w:t>
      </w:r>
      <w:r w:rsidR="007F698F">
        <w:t xml:space="preserve">Azerbaijan </w:t>
      </w:r>
      <w:r w:rsidR="009D6CBA">
        <w:t>ha</w:t>
      </w:r>
      <w:r w:rsidR="00E3571E">
        <w:t>d</w:t>
      </w:r>
      <w:r w:rsidR="009D6CBA">
        <w:t xml:space="preserve"> also </w:t>
      </w:r>
      <w:r w:rsidR="00A85F4F">
        <w:t xml:space="preserve">been </w:t>
      </w:r>
      <w:r w:rsidR="009D6CBA">
        <w:t xml:space="preserve">left with </w:t>
      </w:r>
      <w:r w:rsidR="007F698F">
        <w:t>thousands of</w:t>
      </w:r>
      <w:r w:rsidR="009D6CBA">
        <w:t xml:space="preserve"> </w:t>
      </w:r>
      <w:r w:rsidR="007F698F">
        <w:t xml:space="preserve">instructors, </w:t>
      </w:r>
      <w:r w:rsidR="009D6CBA">
        <w:t xml:space="preserve">faculty and researchers trained in </w:t>
      </w:r>
      <w:r w:rsidR="007F698F">
        <w:t xml:space="preserve">the </w:t>
      </w:r>
      <w:r w:rsidR="009D6CBA">
        <w:t>old system.</w:t>
      </w:r>
      <w:r w:rsidR="007F698F">
        <w:t xml:space="preserve"> </w:t>
      </w:r>
      <w:r w:rsidR="009D6CBA">
        <w:t>F</w:t>
      </w:r>
      <w:r w:rsidR="00B22071">
        <w:t xml:space="preserve">or the last </w:t>
      </w:r>
      <w:r w:rsidR="007F698F">
        <w:t>2</w:t>
      </w:r>
      <w:r w:rsidR="003F6F91">
        <w:t>7</w:t>
      </w:r>
      <w:r w:rsidR="007F698F">
        <w:t xml:space="preserve"> years, </w:t>
      </w:r>
      <w:r w:rsidR="00D35C28">
        <w:t>however,</w:t>
      </w:r>
      <w:r w:rsidR="009D6CBA">
        <w:t xml:space="preserve"> </w:t>
      </w:r>
      <w:r w:rsidR="00B22071">
        <w:t xml:space="preserve">the country has made numerous attempts to transform the system and make it compatible with the development and experiences of </w:t>
      </w:r>
      <w:r w:rsidR="000C48C0">
        <w:t>other post-Soviet countries</w:t>
      </w:r>
      <w:r w:rsidR="007F698F">
        <w:t xml:space="preserve"> </w:t>
      </w:r>
      <w:r w:rsidR="001540E8" w:rsidRPr="001B383C">
        <w:t>(Dem</w:t>
      </w:r>
      <w:r w:rsidR="001805A7">
        <w:t xml:space="preserve">ographic and Health Survey, </w:t>
      </w:r>
      <w:r w:rsidR="00010BC0" w:rsidRPr="001805A7">
        <w:rPr>
          <w:color w:val="000000" w:themeColor="text1"/>
        </w:rPr>
        <w:t>2011</w:t>
      </w:r>
      <w:r w:rsidR="001540E8" w:rsidRPr="001B383C">
        <w:t>)</w:t>
      </w:r>
      <w:r w:rsidR="001540E8" w:rsidRPr="000B76C0">
        <w:t>.</w:t>
      </w:r>
      <w:r w:rsidR="007267C2" w:rsidRPr="000B76C0">
        <w:t xml:space="preserve"> </w:t>
      </w:r>
    </w:p>
    <w:p w14:paraId="00A73E96" w14:textId="1C9FD5BF" w:rsidR="00826BFA" w:rsidRDefault="00AE2A16" w:rsidP="003F6C84">
      <w:pPr>
        <w:widowControl w:val="0"/>
        <w:autoSpaceDE w:val="0"/>
        <w:autoSpaceDN w:val="0"/>
        <w:adjustRightInd w:val="0"/>
        <w:snapToGrid w:val="0"/>
        <w:spacing w:after="100" w:afterAutospacing="1"/>
        <w:ind w:left="720" w:firstLine="720"/>
        <w:contextualSpacing/>
        <w:jc w:val="both"/>
      </w:pPr>
      <w:r w:rsidRPr="000B76C0">
        <w:t xml:space="preserve">Approximating the system of education to </w:t>
      </w:r>
      <w:r w:rsidR="00A22475">
        <w:t xml:space="preserve">the </w:t>
      </w:r>
      <w:r w:rsidRPr="000B76C0">
        <w:t xml:space="preserve">European one </w:t>
      </w:r>
      <w:r w:rsidR="006F751C">
        <w:t>had</w:t>
      </w:r>
      <w:r w:rsidR="00A22475">
        <w:t xml:space="preserve"> been</w:t>
      </w:r>
      <w:r w:rsidR="00A22475" w:rsidRPr="000B76C0">
        <w:t xml:space="preserve"> </w:t>
      </w:r>
      <w:r w:rsidRPr="000B76C0">
        <w:t xml:space="preserve">one of the strategies of Azerbaijani government since </w:t>
      </w:r>
      <w:r w:rsidR="007267C2" w:rsidRPr="000B76C0">
        <w:t xml:space="preserve">the </w:t>
      </w:r>
      <w:r w:rsidR="00A22475">
        <w:t>mid-</w:t>
      </w:r>
      <w:r w:rsidRPr="000B76C0">
        <w:t>1990s</w:t>
      </w:r>
      <w:r w:rsidR="00A13C4F">
        <w:t xml:space="preserve">, </w:t>
      </w:r>
      <w:r w:rsidR="006F751C">
        <w:t>culminating</w:t>
      </w:r>
      <w:r w:rsidRPr="000B76C0">
        <w:t xml:space="preserve"> in </w:t>
      </w:r>
      <w:r w:rsidR="009040AD">
        <w:t xml:space="preserve">its </w:t>
      </w:r>
      <w:r w:rsidRPr="000B76C0">
        <w:t xml:space="preserve">joining </w:t>
      </w:r>
      <w:r w:rsidR="00A22475">
        <w:t xml:space="preserve">the </w:t>
      </w:r>
      <w:r w:rsidRPr="000B76C0">
        <w:t xml:space="preserve">Bologna Process Reform in May of 2005. </w:t>
      </w:r>
      <w:r w:rsidR="00A22475">
        <w:t>Like</w:t>
      </w:r>
      <w:r w:rsidR="00626B38" w:rsidRPr="00626B38">
        <w:t xml:space="preserve"> many</w:t>
      </w:r>
      <w:r w:rsidR="00626B38" w:rsidRPr="00792233">
        <w:t xml:space="preserve"> societies</w:t>
      </w:r>
      <w:r w:rsidR="00626B38">
        <w:t>, Azerbaijan also</w:t>
      </w:r>
      <w:r w:rsidR="00626B38" w:rsidRPr="00792233">
        <w:t xml:space="preserve"> </w:t>
      </w:r>
      <w:r w:rsidR="00626B38">
        <w:t>“</w:t>
      </w:r>
      <w:r w:rsidR="00626B38" w:rsidRPr="00792233">
        <w:t>had a need for greater numbers of graduates with more relevant</w:t>
      </w:r>
      <w:r w:rsidR="00626B38" w:rsidRPr="00626B38">
        <w:t xml:space="preserve"> skills for the new global labo</w:t>
      </w:r>
      <w:r w:rsidR="00626B38" w:rsidRPr="00792233">
        <w:t>r market. At a time when countries were facing these common trends and challenges, the idea of a European process was attractive, corresponding to the spirit of the times</w:t>
      </w:r>
      <w:r w:rsidR="00626B38">
        <w:t xml:space="preserve">” (Crosier &amp; </w:t>
      </w:r>
      <w:proofErr w:type="spellStart"/>
      <w:r w:rsidR="00626B38">
        <w:t>Parveva</w:t>
      </w:r>
      <w:proofErr w:type="spellEnd"/>
      <w:r w:rsidR="00626B38">
        <w:t xml:space="preserve">, </w:t>
      </w:r>
      <w:r w:rsidR="00792233">
        <w:t xml:space="preserve">2013, p. 21). </w:t>
      </w:r>
      <w:r w:rsidR="00AB091D">
        <w:t>Despite</w:t>
      </w:r>
      <w:r w:rsidRPr="000B76C0">
        <w:t xml:space="preserve"> </w:t>
      </w:r>
      <w:r w:rsidR="00A22475">
        <w:t xml:space="preserve">the </w:t>
      </w:r>
      <w:r w:rsidRPr="000B76C0">
        <w:t xml:space="preserve">positive sides and impacts of such </w:t>
      </w:r>
      <w:r w:rsidR="00A22475">
        <w:t xml:space="preserve">a </w:t>
      </w:r>
      <w:r w:rsidRPr="000B76C0">
        <w:t>movement, joining the process has also created many challenges</w:t>
      </w:r>
      <w:r w:rsidR="00235B8A">
        <w:t>,</w:t>
      </w:r>
      <w:r w:rsidRPr="000B76C0">
        <w:t xml:space="preserve"> especially </w:t>
      </w:r>
      <w:r w:rsidR="007F698F">
        <w:t>in</w:t>
      </w:r>
      <w:r w:rsidR="007F698F" w:rsidRPr="000B76C0">
        <w:t xml:space="preserve"> </w:t>
      </w:r>
      <w:r w:rsidRPr="000B76C0">
        <w:t>higher education</w:t>
      </w:r>
      <w:r w:rsidR="0000473D">
        <w:t xml:space="preserve">. </w:t>
      </w:r>
      <w:r w:rsidR="00725E86">
        <w:t xml:space="preserve">This </w:t>
      </w:r>
      <w:r w:rsidR="00F8725E">
        <w:t xml:space="preserve">fundamental transformation within </w:t>
      </w:r>
      <w:r w:rsidR="003F6F91">
        <w:t>Higher Educational Institutions (</w:t>
      </w:r>
      <w:r w:rsidR="00F8725E">
        <w:t>HEI</w:t>
      </w:r>
      <w:r w:rsidR="003F6F91">
        <w:t>)</w:t>
      </w:r>
      <w:r w:rsidR="00F8725E">
        <w:t xml:space="preserve"> had </w:t>
      </w:r>
      <w:r w:rsidR="00A22475">
        <w:t xml:space="preserve">a </w:t>
      </w:r>
      <w:r w:rsidR="00F8725E">
        <w:t xml:space="preserve">significant </w:t>
      </w:r>
      <w:r w:rsidR="007F698F">
        <w:t xml:space="preserve">effect </w:t>
      </w:r>
      <w:r w:rsidR="00F8725E">
        <w:t>on teaching and learning process</w:t>
      </w:r>
      <w:r w:rsidR="00A22475">
        <w:t>es</w:t>
      </w:r>
      <w:r w:rsidR="00F8725E">
        <w:t>, thereby triggering conflicts between policy makers and faculty members as well as students and university administrators (</w:t>
      </w:r>
      <w:proofErr w:type="spellStart"/>
      <w:r w:rsidR="00F8725E">
        <w:t>Bargel</w:t>
      </w:r>
      <w:proofErr w:type="spellEnd"/>
      <w:r w:rsidR="00F8725E">
        <w:t>,</w:t>
      </w:r>
      <w:r w:rsidR="00A22475">
        <w:t xml:space="preserve"> </w:t>
      </w:r>
      <w:r w:rsidR="00F8725E">
        <w:t xml:space="preserve">2011). </w:t>
      </w:r>
      <w:r w:rsidR="00A22475">
        <w:t xml:space="preserve">The </w:t>
      </w:r>
      <w:r w:rsidR="0000473D">
        <w:t>National Report</w:t>
      </w:r>
      <w:r w:rsidRPr="000B76C0">
        <w:t xml:space="preserve"> on Azerbaijan’s progress in integration to </w:t>
      </w:r>
      <w:r w:rsidR="00A22475">
        <w:t xml:space="preserve">the </w:t>
      </w:r>
      <w:r w:rsidRPr="000B76C0">
        <w:t>Europea</w:t>
      </w:r>
      <w:r w:rsidR="00F7425E">
        <w:t>n Higher Education Area</w:t>
      </w:r>
      <w:r w:rsidR="00235B8A">
        <w:t xml:space="preserve"> (EHEA)</w:t>
      </w:r>
      <w:r w:rsidR="00F7425E">
        <w:t xml:space="preserve"> reveals</w:t>
      </w:r>
      <w:r w:rsidRPr="000B76C0">
        <w:t xml:space="preserve"> that </w:t>
      </w:r>
      <w:r w:rsidR="000E1C91">
        <w:t xml:space="preserve">although </w:t>
      </w:r>
      <w:r w:rsidRPr="000B76C0">
        <w:t xml:space="preserve">the country </w:t>
      </w:r>
      <w:r w:rsidR="000E1C91">
        <w:t>has made a significant step forward in the high</w:t>
      </w:r>
      <w:r w:rsidR="00A22475">
        <w:t>er</w:t>
      </w:r>
      <w:r w:rsidR="000E1C91">
        <w:t xml:space="preserve"> education sphere,</w:t>
      </w:r>
      <w:r w:rsidRPr="000B76C0">
        <w:t xml:space="preserve"> several gaps in</w:t>
      </w:r>
      <w:r w:rsidR="009A68DA">
        <w:t xml:space="preserve"> the</w:t>
      </w:r>
      <w:r w:rsidRPr="000B76C0">
        <w:t xml:space="preserve"> implementa</w:t>
      </w:r>
      <w:r w:rsidR="001B6ED4" w:rsidRPr="000B76C0">
        <w:t>tion of Bologna Process Reforms</w:t>
      </w:r>
      <w:r w:rsidR="000E1C91">
        <w:t xml:space="preserve"> cannot be denied</w:t>
      </w:r>
      <w:r w:rsidR="008F0909">
        <w:t xml:space="preserve"> (BFUG, Azerbaijan</w:t>
      </w:r>
      <w:r w:rsidR="004046BC">
        <w:t xml:space="preserve"> Report, </w:t>
      </w:r>
      <w:r w:rsidR="004046BC" w:rsidRPr="000B76C0">
        <w:t>2012-2</w:t>
      </w:r>
      <w:r w:rsidR="004046BC">
        <w:t>015).</w:t>
      </w:r>
    </w:p>
    <w:p w14:paraId="7F39EF25" w14:textId="735E2A90" w:rsidR="00284DD2" w:rsidRDefault="00B54575" w:rsidP="00B54575">
      <w:pPr>
        <w:widowControl w:val="0"/>
        <w:tabs>
          <w:tab w:val="left" w:pos="3060"/>
        </w:tabs>
        <w:autoSpaceDE w:val="0"/>
        <w:autoSpaceDN w:val="0"/>
        <w:adjustRightInd w:val="0"/>
        <w:spacing w:after="240"/>
        <w:ind w:left="720"/>
        <w:contextualSpacing/>
        <w:jc w:val="both"/>
        <w:rPr>
          <w:b/>
        </w:rPr>
      </w:pPr>
      <w:r>
        <w:t xml:space="preserve">             </w:t>
      </w:r>
      <w:r w:rsidR="00284DD2">
        <w:t xml:space="preserve">So far, the </w:t>
      </w:r>
      <w:r w:rsidR="00762413">
        <w:t>main gap related to the examination of the reform</w:t>
      </w:r>
      <w:r w:rsidR="00284DD2">
        <w:t>,</w:t>
      </w:r>
      <w:r w:rsidR="0050551C">
        <w:t xml:space="preserve"> however,</w:t>
      </w:r>
      <w:r w:rsidR="00762413">
        <w:t xml:space="preserve"> is that there </w:t>
      </w:r>
      <w:r w:rsidR="00B7253C">
        <w:t>have been</w:t>
      </w:r>
      <w:r w:rsidR="00E214F6">
        <w:t xml:space="preserve"> no</w:t>
      </w:r>
      <w:r w:rsidR="00762413">
        <w:t xml:space="preserve"> </w:t>
      </w:r>
      <w:r w:rsidR="00CB7656">
        <w:t>empirical</w:t>
      </w:r>
      <w:r w:rsidR="001E5BA6">
        <w:t xml:space="preserve"> </w:t>
      </w:r>
      <w:r w:rsidR="00E214F6">
        <w:t>studies</w:t>
      </w:r>
      <w:r w:rsidR="00762413">
        <w:t xml:space="preserve"> </w:t>
      </w:r>
      <w:r w:rsidR="007B1445">
        <w:t>conducted</w:t>
      </w:r>
      <w:r w:rsidR="00284DD2">
        <w:t xml:space="preserve"> </w:t>
      </w:r>
      <w:r w:rsidR="00B7253C">
        <w:t xml:space="preserve">which </w:t>
      </w:r>
      <w:r w:rsidR="00D5506F">
        <w:t>analyz</w:t>
      </w:r>
      <w:r w:rsidR="00B7253C">
        <w:t>e</w:t>
      </w:r>
      <w:r w:rsidR="00A03E75">
        <w:t xml:space="preserve"> the </w:t>
      </w:r>
      <w:r w:rsidR="0050551C">
        <w:t>process</w:t>
      </w:r>
      <w:r w:rsidR="00A03E75">
        <w:t xml:space="preserve"> through</w:t>
      </w:r>
      <w:r w:rsidR="007B1445">
        <w:t xml:space="preserve"> </w:t>
      </w:r>
      <w:r w:rsidR="00B7253C">
        <w:t xml:space="preserve">the </w:t>
      </w:r>
      <w:r w:rsidR="00F7425E">
        <w:t>student</w:t>
      </w:r>
      <w:r w:rsidR="00CB7656">
        <w:t>s’</w:t>
      </w:r>
      <w:r w:rsidR="00A03E75">
        <w:t xml:space="preserve"> perspective</w:t>
      </w:r>
      <w:r w:rsidR="00284DD2">
        <w:t xml:space="preserve">. </w:t>
      </w:r>
      <w:r w:rsidR="00B7253C">
        <w:t>It is necessary to learn</w:t>
      </w:r>
      <w:r w:rsidR="00CB7656">
        <w:t xml:space="preserve"> how this reform </w:t>
      </w:r>
      <w:r w:rsidR="00B7253C">
        <w:t xml:space="preserve">has </w:t>
      </w:r>
      <w:r w:rsidR="00CB7656">
        <w:t>affected Azerbaijani students.</w:t>
      </w:r>
      <w:r w:rsidR="00D5506F">
        <w:t xml:space="preserve"> </w:t>
      </w:r>
      <w:r w:rsidR="000D4D0C" w:rsidRPr="000B76C0">
        <w:t xml:space="preserve">The purpose of this study is to explore the implications of 14-year old </w:t>
      </w:r>
      <w:r w:rsidR="009D3561" w:rsidRPr="000B76C0">
        <w:t>Bologna process in selected</w:t>
      </w:r>
      <w:r w:rsidR="000D4D0C" w:rsidRPr="000B76C0">
        <w:t xml:space="preserve"> public universities with particular emphasis on </w:t>
      </w:r>
      <w:r w:rsidR="006B1030">
        <w:t xml:space="preserve">degree structure, </w:t>
      </w:r>
      <w:r w:rsidR="007F698F">
        <w:t xml:space="preserve">quality assurance, </w:t>
      </w:r>
      <w:r w:rsidR="006B1030" w:rsidRPr="00E765C6">
        <w:t>mobility,</w:t>
      </w:r>
      <w:r w:rsidR="000D4D0C" w:rsidRPr="00E765C6">
        <w:t xml:space="preserve"> and </w:t>
      </w:r>
      <w:r w:rsidR="000D4D0C" w:rsidRPr="000B76C0">
        <w:t xml:space="preserve">social dimension. Moreover, </w:t>
      </w:r>
      <w:r w:rsidR="007F698F">
        <w:t>the researchers</w:t>
      </w:r>
      <w:r w:rsidR="007F698F" w:rsidRPr="000B76C0">
        <w:t xml:space="preserve"> </w:t>
      </w:r>
      <w:r w:rsidR="000D4D0C" w:rsidRPr="000B76C0">
        <w:t>are trying to f</w:t>
      </w:r>
      <w:r w:rsidR="00F7425E">
        <w:t>ind out how students</w:t>
      </w:r>
      <w:r w:rsidR="000D4D0C" w:rsidRPr="000B76C0">
        <w:t xml:space="preserve"> perce</w:t>
      </w:r>
      <w:r w:rsidR="001778B4">
        <w:t>ive and understand this process,</w:t>
      </w:r>
      <w:r w:rsidR="000D4D0C" w:rsidRPr="000B76C0">
        <w:t xml:space="preserve"> how they are able to benefit from it as well as to see the consistency of reforms in the country. </w:t>
      </w:r>
      <w:r w:rsidR="00A03E75">
        <w:t>This</w:t>
      </w:r>
      <w:r w:rsidR="002341AC" w:rsidRPr="000B76C0">
        <w:t xml:space="preserve"> is </w:t>
      </w:r>
      <w:r w:rsidR="00A03E75">
        <w:t>also necessary for</w:t>
      </w:r>
      <w:r w:rsidR="002341AC" w:rsidRPr="000B76C0">
        <w:t xml:space="preserve"> see</w:t>
      </w:r>
      <w:r w:rsidR="00A03E75">
        <w:t>ing how compatible</w:t>
      </w:r>
      <w:r w:rsidR="002341AC" w:rsidRPr="000B76C0">
        <w:t xml:space="preserve"> the Azerbaijani higher education institutions</w:t>
      </w:r>
      <w:r w:rsidR="00A03E75">
        <w:t xml:space="preserve"> are</w:t>
      </w:r>
      <w:r w:rsidR="002341AC" w:rsidRPr="000B76C0">
        <w:t xml:space="preserve"> to European Higher Education Standards</w:t>
      </w:r>
      <w:r w:rsidR="007F698F">
        <w:t xml:space="preserve">. </w:t>
      </w:r>
    </w:p>
    <w:p w14:paraId="13808919" w14:textId="77777777" w:rsidR="003F6F91" w:rsidRDefault="003F6F91" w:rsidP="003F6C84">
      <w:pPr>
        <w:ind w:left="720"/>
        <w:contextualSpacing/>
        <w:jc w:val="both"/>
        <w:rPr>
          <w:b/>
        </w:rPr>
      </w:pPr>
    </w:p>
    <w:p w14:paraId="587A220A" w14:textId="48E822F8" w:rsidR="00C30F06" w:rsidRPr="000B76C0" w:rsidRDefault="00AE7A63" w:rsidP="0024320D">
      <w:pPr>
        <w:ind w:left="720"/>
        <w:contextualSpacing/>
        <w:jc w:val="both"/>
        <w:outlineLvl w:val="0"/>
        <w:rPr>
          <w:b/>
        </w:rPr>
      </w:pPr>
      <w:r>
        <w:rPr>
          <w:b/>
        </w:rPr>
        <w:t>Data collection and methods</w:t>
      </w:r>
      <w:r w:rsidR="00C226EC">
        <w:rPr>
          <w:b/>
        </w:rPr>
        <w:t xml:space="preserve"> </w:t>
      </w:r>
    </w:p>
    <w:p w14:paraId="78409DE1" w14:textId="7C61D003" w:rsidR="007F698F" w:rsidRDefault="00860239" w:rsidP="003F6C84">
      <w:pPr>
        <w:widowControl w:val="0"/>
        <w:autoSpaceDE w:val="0"/>
        <w:autoSpaceDN w:val="0"/>
        <w:adjustRightInd w:val="0"/>
        <w:spacing w:after="240"/>
        <w:ind w:left="720"/>
        <w:contextualSpacing/>
        <w:jc w:val="both"/>
      </w:pPr>
      <w:r>
        <w:rPr>
          <w:b/>
        </w:rPr>
        <w:t xml:space="preserve">      </w:t>
      </w:r>
      <w:r w:rsidR="00C226EC" w:rsidRPr="005B2E22">
        <w:t>This art</w:t>
      </w:r>
      <w:r w:rsidR="00166E5D">
        <w:t xml:space="preserve">icle primarily employs data with the help of mixed method design, </w:t>
      </w:r>
      <w:r>
        <w:t xml:space="preserve">since we </w:t>
      </w:r>
      <w:r>
        <w:lastRenderedPageBreak/>
        <w:t>agree with the idea</w:t>
      </w:r>
      <w:r w:rsidR="00166E5D">
        <w:t xml:space="preserve"> that “</w:t>
      </w:r>
      <w:r w:rsidR="00166E5D" w:rsidRPr="00166E5D">
        <w:t>mixed meth</w:t>
      </w:r>
      <w:r w:rsidR="00166E5D">
        <w:t>ods design is that the combina</w:t>
      </w:r>
      <w:r w:rsidR="00166E5D" w:rsidRPr="00166E5D">
        <w:t>tion of both forms of data provides a better understanding of a research problem than either quantitative or qualitative data by itself.</w:t>
      </w:r>
      <w:r w:rsidR="00166E5D">
        <w:t xml:space="preserve">” (Creswell, </w:t>
      </w:r>
      <w:r w:rsidR="00D95324">
        <w:t xml:space="preserve">2012. P.45). </w:t>
      </w:r>
      <w:r w:rsidR="007F698F">
        <w:t xml:space="preserve">The data collection involved the survey of students and interviews </w:t>
      </w:r>
      <w:r w:rsidR="00D3339A">
        <w:t xml:space="preserve">with </w:t>
      </w:r>
      <w:r w:rsidR="007F698F">
        <w:t xml:space="preserve">experts. </w:t>
      </w:r>
    </w:p>
    <w:p w14:paraId="503FF648" w14:textId="77777777" w:rsidR="003F6F91" w:rsidRDefault="003F6F91" w:rsidP="003F6C84">
      <w:pPr>
        <w:widowControl w:val="0"/>
        <w:autoSpaceDE w:val="0"/>
        <w:autoSpaceDN w:val="0"/>
        <w:adjustRightInd w:val="0"/>
        <w:spacing w:after="240"/>
        <w:ind w:left="720"/>
        <w:contextualSpacing/>
        <w:jc w:val="both"/>
        <w:rPr>
          <w:b/>
          <w:i/>
        </w:rPr>
      </w:pPr>
    </w:p>
    <w:p w14:paraId="609BA64A" w14:textId="45184C9D" w:rsidR="007F698F" w:rsidRPr="00AE7A63" w:rsidRDefault="007F698F" w:rsidP="0024320D">
      <w:pPr>
        <w:widowControl w:val="0"/>
        <w:autoSpaceDE w:val="0"/>
        <w:autoSpaceDN w:val="0"/>
        <w:adjustRightInd w:val="0"/>
        <w:spacing w:after="240"/>
        <w:ind w:left="720"/>
        <w:contextualSpacing/>
        <w:jc w:val="both"/>
        <w:outlineLvl w:val="0"/>
        <w:rPr>
          <w:i/>
        </w:rPr>
      </w:pPr>
      <w:r w:rsidRPr="00AE7A63">
        <w:rPr>
          <w:i/>
        </w:rPr>
        <w:t xml:space="preserve">Student Surveys </w:t>
      </w:r>
    </w:p>
    <w:p w14:paraId="38AF125F" w14:textId="77777777" w:rsidR="003F6F91" w:rsidRDefault="00050AEB" w:rsidP="003F6C84">
      <w:pPr>
        <w:widowControl w:val="0"/>
        <w:autoSpaceDE w:val="0"/>
        <w:autoSpaceDN w:val="0"/>
        <w:adjustRightInd w:val="0"/>
        <w:spacing w:after="240"/>
        <w:ind w:left="720"/>
        <w:contextualSpacing/>
        <w:jc w:val="both"/>
      </w:pPr>
      <w:r>
        <w:t xml:space="preserve">         </w:t>
      </w:r>
    </w:p>
    <w:p w14:paraId="3F81DDBA" w14:textId="7E93DCCE" w:rsidR="003F6F91" w:rsidRDefault="007F698F" w:rsidP="00B54575">
      <w:pPr>
        <w:widowControl w:val="0"/>
        <w:autoSpaceDE w:val="0"/>
        <w:autoSpaceDN w:val="0"/>
        <w:adjustRightInd w:val="0"/>
        <w:spacing w:after="240"/>
        <w:ind w:left="720"/>
        <w:contextualSpacing/>
        <w:jc w:val="both"/>
        <w:rPr>
          <w:b/>
          <w:i/>
        </w:rPr>
      </w:pPr>
      <w:r>
        <w:t>T</w:t>
      </w:r>
      <w:r w:rsidR="0018467C">
        <w:t>he first data collection method</w:t>
      </w:r>
      <w:r>
        <w:t xml:space="preserve"> is the survey that was</w:t>
      </w:r>
      <w:r w:rsidR="00D95324">
        <w:t xml:space="preserve"> </w:t>
      </w:r>
      <w:r w:rsidR="00C226EC">
        <w:t>conducted October-November</w:t>
      </w:r>
      <w:r>
        <w:t xml:space="preserve"> of </w:t>
      </w:r>
      <w:r w:rsidR="00C226EC">
        <w:t>2018</w:t>
      </w:r>
      <w:r w:rsidR="006D1733">
        <w:t xml:space="preserve"> over a</w:t>
      </w:r>
      <w:r w:rsidR="00FA415E">
        <w:t xml:space="preserve"> </w:t>
      </w:r>
      <w:r>
        <w:t>four</w:t>
      </w:r>
      <w:r w:rsidR="00FA415E">
        <w:t>-week period.</w:t>
      </w:r>
      <w:r w:rsidR="00C226EC">
        <w:t xml:space="preserve"> The researchers first selected </w:t>
      </w:r>
      <w:r w:rsidR="00FA415E">
        <w:t>six</w:t>
      </w:r>
      <w:r w:rsidR="00DA289D">
        <w:t xml:space="preserve"> </w:t>
      </w:r>
      <w:r w:rsidR="00730B19">
        <w:t xml:space="preserve">major </w:t>
      </w:r>
      <w:r w:rsidR="00DA289D">
        <w:t>state</w:t>
      </w:r>
      <w:r w:rsidR="00C226EC">
        <w:t xml:space="preserve"> universities based on their positions in the national ranking</w:t>
      </w:r>
      <w:r>
        <w:t xml:space="preserve"> and </w:t>
      </w:r>
      <w:r w:rsidR="00E01D64">
        <w:t>number of students</w:t>
      </w:r>
      <w:r>
        <w:t xml:space="preserve">. </w:t>
      </w:r>
      <w:r w:rsidR="00E01D64">
        <w:t xml:space="preserve"> </w:t>
      </w:r>
      <w:r w:rsidR="001F772B">
        <w:t xml:space="preserve">All the </w:t>
      </w:r>
      <w:r>
        <w:t>selected</w:t>
      </w:r>
      <w:r w:rsidR="00CA0808">
        <w:t xml:space="preserve"> </w:t>
      </w:r>
      <w:r w:rsidR="001F772B">
        <w:t>universities</w:t>
      </w:r>
      <w:r w:rsidR="00D3339A">
        <w:t>—</w:t>
      </w:r>
      <w:r w:rsidR="00E01D64">
        <w:t xml:space="preserve">Azerbaijan State University of Economics, ADA University, </w:t>
      </w:r>
      <w:r w:rsidR="00EB6716">
        <w:t xml:space="preserve">Azerbaijan State </w:t>
      </w:r>
      <w:r w:rsidR="00E01D64">
        <w:t>Pedagogical University</w:t>
      </w:r>
      <w:r w:rsidR="00806EB7">
        <w:t>, Azerbaijan University of Languages</w:t>
      </w:r>
      <w:r w:rsidR="00EE2C65">
        <w:t>,</w:t>
      </w:r>
      <w:r w:rsidR="00E01D64">
        <w:t xml:space="preserve"> </w:t>
      </w:r>
      <w:r w:rsidR="00FA415E">
        <w:t xml:space="preserve">Azerbaijan Technical University, </w:t>
      </w:r>
      <w:r w:rsidR="00E01D64">
        <w:t>and Baku State University</w:t>
      </w:r>
      <w:r w:rsidR="00D3339A">
        <w:t>—</w:t>
      </w:r>
      <w:r w:rsidR="009759CC">
        <w:t>implement Bologna principle</w:t>
      </w:r>
      <w:r w:rsidR="0008181A">
        <w:t>s</w:t>
      </w:r>
      <w:r w:rsidR="00E01D64">
        <w:t xml:space="preserve">. </w:t>
      </w:r>
      <w:r w:rsidR="00730B19">
        <w:rPr>
          <w:color w:val="000000"/>
        </w:rPr>
        <w:t>Surveys were mostly conducted among students of third and fourth years</w:t>
      </w:r>
      <w:r w:rsidR="00F05786">
        <w:rPr>
          <w:color w:val="000000"/>
        </w:rPr>
        <w:t xml:space="preserve">, as well as master’s students, </w:t>
      </w:r>
      <w:r>
        <w:rPr>
          <w:color w:val="000000"/>
        </w:rPr>
        <w:t xml:space="preserve">since they are </w:t>
      </w:r>
      <w:r w:rsidR="00730B19">
        <w:rPr>
          <w:color w:val="000000"/>
        </w:rPr>
        <w:t xml:space="preserve">the most competent respondents </w:t>
      </w:r>
      <w:r w:rsidR="00DF1E32">
        <w:rPr>
          <w:color w:val="000000"/>
        </w:rPr>
        <w:t>with</w:t>
      </w:r>
      <w:r w:rsidR="00730B19">
        <w:rPr>
          <w:color w:val="000000"/>
        </w:rPr>
        <w:t xml:space="preserve"> several years of experience being a student. </w:t>
      </w:r>
      <w:r w:rsidR="00121E74">
        <w:rPr>
          <w:color w:val="000000"/>
        </w:rPr>
        <w:t xml:space="preserve">First and second year students of the </w:t>
      </w:r>
      <w:r w:rsidR="00784EC6">
        <w:rPr>
          <w:color w:val="000000"/>
        </w:rPr>
        <w:t>b</w:t>
      </w:r>
      <w:r w:rsidR="00121E74">
        <w:rPr>
          <w:color w:val="000000"/>
        </w:rPr>
        <w:t>achelor</w:t>
      </w:r>
      <w:r w:rsidR="00784EC6">
        <w:rPr>
          <w:color w:val="000000"/>
        </w:rPr>
        <w:t>’s</w:t>
      </w:r>
      <w:r w:rsidR="00121E74">
        <w:rPr>
          <w:color w:val="000000"/>
        </w:rPr>
        <w:t xml:space="preserve"> level were excluded from the survey on the grounds that they might not have enough knowledge about the reform process. </w:t>
      </w:r>
      <w:r w:rsidR="00D64E62">
        <w:rPr>
          <w:color w:val="000000"/>
        </w:rPr>
        <w:t xml:space="preserve">surveys were distributed in </w:t>
      </w:r>
      <w:r w:rsidR="00DF1E32">
        <w:rPr>
          <w:color w:val="000000"/>
        </w:rPr>
        <w:t xml:space="preserve">the </w:t>
      </w:r>
      <w:r w:rsidR="00D64E62">
        <w:rPr>
          <w:color w:val="000000"/>
        </w:rPr>
        <w:t xml:space="preserve">Azerbaijani language. </w:t>
      </w:r>
    </w:p>
    <w:p w14:paraId="098ACCD7" w14:textId="77777777" w:rsidR="00B54575" w:rsidRDefault="00B54575" w:rsidP="0024320D">
      <w:pPr>
        <w:autoSpaceDE w:val="0"/>
        <w:autoSpaceDN w:val="0"/>
        <w:adjustRightInd w:val="0"/>
        <w:ind w:left="720"/>
        <w:contextualSpacing/>
        <w:jc w:val="both"/>
        <w:outlineLvl w:val="0"/>
        <w:rPr>
          <w:i/>
        </w:rPr>
      </w:pPr>
    </w:p>
    <w:p w14:paraId="7974BD44" w14:textId="48DF746A" w:rsidR="00141F76" w:rsidRPr="00AE7A63" w:rsidRDefault="007F698F" w:rsidP="0024320D">
      <w:pPr>
        <w:autoSpaceDE w:val="0"/>
        <w:autoSpaceDN w:val="0"/>
        <w:adjustRightInd w:val="0"/>
        <w:ind w:left="720"/>
        <w:contextualSpacing/>
        <w:jc w:val="both"/>
        <w:outlineLvl w:val="0"/>
        <w:rPr>
          <w:i/>
        </w:rPr>
      </w:pPr>
      <w:r w:rsidRPr="00AE7A63">
        <w:rPr>
          <w:i/>
        </w:rPr>
        <w:t xml:space="preserve">Expert </w:t>
      </w:r>
      <w:r w:rsidR="00141F76" w:rsidRPr="00AE7A63">
        <w:rPr>
          <w:i/>
        </w:rPr>
        <w:t>Interviews</w:t>
      </w:r>
    </w:p>
    <w:p w14:paraId="2135ED95" w14:textId="77777777" w:rsidR="003F6F91" w:rsidRDefault="007F698F" w:rsidP="003F6C84">
      <w:pPr>
        <w:autoSpaceDE w:val="0"/>
        <w:autoSpaceDN w:val="0"/>
        <w:adjustRightInd w:val="0"/>
        <w:ind w:left="720"/>
        <w:contextualSpacing/>
        <w:jc w:val="both"/>
        <w:rPr>
          <w:color w:val="000000"/>
        </w:rPr>
      </w:pPr>
      <w:r>
        <w:rPr>
          <w:color w:val="000000"/>
        </w:rPr>
        <w:t xml:space="preserve">          </w:t>
      </w:r>
    </w:p>
    <w:p w14:paraId="07027CA4" w14:textId="4D0EB774" w:rsidR="006122A1" w:rsidRDefault="007F698F" w:rsidP="003F6C84">
      <w:pPr>
        <w:autoSpaceDE w:val="0"/>
        <w:autoSpaceDN w:val="0"/>
        <w:adjustRightInd w:val="0"/>
        <w:ind w:left="720"/>
        <w:contextualSpacing/>
        <w:jc w:val="both"/>
        <w:rPr>
          <w:b/>
          <w:i/>
        </w:rPr>
      </w:pPr>
      <w:r w:rsidRPr="00B048FC">
        <w:rPr>
          <w:color w:val="000000"/>
        </w:rPr>
        <w:t>Beyond the</w:t>
      </w:r>
      <w:r>
        <w:rPr>
          <w:color w:val="000000"/>
        </w:rPr>
        <w:t xml:space="preserve"> surveys, the researchers conducted semi-structured interviews with experts from different areas of </w:t>
      </w:r>
      <w:r w:rsidR="00DF1E32">
        <w:rPr>
          <w:color w:val="000000"/>
        </w:rPr>
        <w:t xml:space="preserve">the </w:t>
      </w:r>
      <w:r>
        <w:rPr>
          <w:color w:val="000000"/>
        </w:rPr>
        <w:t xml:space="preserve">education sector.  </w:t>
      </w:r>
      <w:r w:rsidR="004269F9">
        <w:t xml:space="preserve"> </w:t>
      </w:r>
      <w:r w:rsidR="0081632E">
        <w:t>Data were also collected via semi-structure</w:t>
      </w:r>
      <w:r w:rsidR="00DF503F">
        <w:t>d</w:t>
      </w:r>
      <w:r w:rsidR="0081632E">
        <w:t xml:space="preserve"> interviews, which took place at the venues the respondents </w:t>
      </w:r>
      <w:r w:rsidR="00DF503F">
        <w:t xml:space="preserve">had </w:t>
      </w:r>
      <w:r w:rsidR="0081632E">
        <w:t xml:space="preserve">chosen and ranged in length from </w:t>
      </w:r>
      <w:r w:rsidR="00AE1F79">
        <w:t xml:space="preserve">45-60 minutes. The interview questions were related to the main elements of Bologna process – degree structure, </w:t>
      </w:r>
      <w:r w:rsidR="00F31992">
        <w:t>recognition, mobility, quality assurance,</w:t>
      </w:r>
      <w:r w:rsidR="00DF1E32">
        <w:t xml:space="preserve"> and</w:t>
      </w:r>
      <w:r w:rsidR="00F31992">
        <w:t xml:space="preserve"> social </w:t>
      </w:r>
      <w:r w:rsidR="00431F2A">
        <w:t>dimension</w:t>
      </w:r>
      <w:r w:rsidR="00F31992">
        <w:t xml:space="preserve">. </w:t>
      </w:r>
      <w:r w:rsidR="0005726E">
        <w:t xml:space="preserve">Each interview was </w:t>
      </w:r>
      <w:r w:rsidR="003E0421">
        <w:t xml:space="preserve">recorded and transcribed to be used in the analysis </w:t>
      </w:r>
      <w:r w:rsidR="00DF503F">
        <w:t>of the data. The interview was held based on</w:t>
      </w:r>
      <w:r w:rsidR="007661D8">
        <w:t xml:space="preserve"> 11 open-ended que</w:t>
      </w:r>
      <w:r w:rsidR="002A489F">
        <w:t xml:space="preserve">stions, </w:t>
      </w:r>
      <w:r w:rsidR="005F378A">
        <w:t>the answers to which could</w:t>
      </w:r>
      <w:r w:rsidR="007661D8">
        <w:t xml:space="preserve"> shed some light into the issues of the Bologna process implementation in Azerbaijani universities.</w:t>
      </w:r>
      <w:r w:rsidR="002A489F">
        <w:t xml:space="preserve"> </w:t>
      </w:r>
      <w:r w:rsidR="00431F2A">
        <w:t xml:space="preserve">Confidentiality of the respondents was ensured. </w:t>
      </w:r>
    </w:p>
    <w:p w14:paraId="6248942F" w14:textId="77777777" w:rsidR="003F6F91" w:rsidRDefault="003F6F91" w:rsidP="003F6C84">
      <w:pPr>
        <w:autoSpaceDE w:val="0"/>
        <w:autoSpaceDN w:val="0"/>
        <w:adjustRightInd w:val="0"/>
        <w:ind w:left="720"/>
        <w:contextualSpacing/>
        <w:jc w:val="both"/>
        <w:rPr>
          <w:b/>
          <w:i/>
        </w:rPr>
      </w:pPr>
    </w:p>
    <w:p w14:paraId="678F83B2" w14:textId="66B1856A" w:rsidR="00B328F9" w:rsidRPr="00626894" w:rsidRDefault="00AE7A63" w:rsidP="0024320D">
      <w:pPr>
        <w:ind w:left="720"/>
        <w:contextualSpacing/>
        <w:jc w:val="both"/>
        <w:outlineLvl w:val="0"/>
        <w:rPr>
          <w:b/>
        </w:rPr>
      </w:pPr>
      <w:r>
        <w:rPr>
          <w:b/>
        </w:rPr>
        <w:t>Results</w:t>
      </w:r>
    </w:p>
    <w:p w14:paraId="760E0F48" w14:textId="77777777" w:rsidR="003F6F91" w:rsidRDefault="009029A8" w:rsidP="003F6C84">
      <w:pPr>
        <w:ind w:left="720"/>
        <w:contextualSpacing/>
        <w:jc w:val="both"/>
      </w:pPr>
      <w:r>
        <w:t xml:space="preserve">        </w:t>
      </w:r>
    </w:p>
    <w:p w14:paraId="41B42476" w14:textId="35C547D8" w:rsidR="0005517D" w:rsidRDefault="009029A8" w:rsidP="003F6C84">
      <w:pPr>
        <w:ind w:left="720"/>
        <w:contextualSpacing/>
        <w:jc w:val="both"/>
      </w:pPr>
      <w:r>
        <w:t xml:space="preserve"> </w:t>
      </w:r>
      <w:r w:rsidR="00C1757C">
        <w:t>T</w:t>
      </w:r>
      <w:r w:rsidR="006414C5">
        <w:t xml:space="preserve">he </w:t>
      </w:r>
      <w:r w:rsidR="00215693">
        <w:t>collected data were</w:t>
      </w:r>
      <w:r w:rsidR="00FB38AB">
        <w:t xml:space="preserve"> analyzed in several main steps</w:t>
      </w:r>
      <w:r w:rsidR="00D57839">
        <w:t xml:space="preserve">. Initially, </w:t>
      </w:r>
      <w:r w:rsidR="00FB38AB">
        <w:t>descrip</w:t>
      </w:r>
      <w:r w:rsidR="00C802BC">
        <w:t>tive statistic</w:t>
      </w:r>
      <w:r w:rsidR="009E2F28">
        <w:t>s</w:t>
      </w:r>
      <w:r w:rsidR="00C802BC">
        <w:t xml:space="preserve"> w</w:t>
      </w:r>
      <w:r w:rsidR="00215693">
        <w:t>as</w:t>
      </w:r>
      <w:r w:rsidR="00C802BC">
        <w:t xml:space="preserve"> used</w:t>
      </w:r>
      <w:r w:rsidR="00FB38AB">
        <w:t xml:space="preserve"> to show the demographic i</w:t>
      </w:r>
      <w:r w:rsidR="00E43475">
        <w:t>nformation f</w:t>
      </w:r>
      <w:r w:rsidR="008C4D9B">
        <w:t>or all participants (See Table 1</w:t>
      </w:r>
      <w:r w:rsidR="00E43475">
        <w:t xml:space="preserve">). </w:t>
      </w:r>
      <w:r w:rsidR="00274AB3">
        <w:t>M</w:t>
      </w:r>
      <w:r w:rsidR="00C802BC">
        <w:t xml:space="preserve">ean age of the respondents </w:t>
      </w:r>
      <w:r w:rsidR="00C610D2">
        <w:t>wa</w:t>
      </w:r>
      <w:r w:rsidR="00C802BC">
        <w:t>s 20.</w:t>
      </w:r>
      <w:r w:rsidR="00A7462E">
        <w:t xml:space="preserve"> </w:t>
      </w:r>
    </w:p>
    <w:p w14:paraId="249216F0" w14:textId="77777777" w:rsidR="003F6C84" w:rsidRDefault="003F6C84" w:rsidP="00642502">
      <w:pPr>
        <w:contextualSpacing/>
        <w:jc w:val="both"/>
      </w:pPr>
    </w:p>
    <w:p w14:paraId="774A8D5C" w14:textId="0DB066E7" w:rsidR="006448A5" w:rsidRDefault="003F6C84" w:rsidP="0024320D">
      <w:pPr>
        <w:contextualSpacing/>
        <w:jc w:val="both"/>
        <w:outlineLvl w:val="0"/>
        <w:rPr>
          <w:b/>
        </w:rPr>
      </w:pPr>
      <w:r>
        <w:rPr>
          <w:b/>
        </w:rPr>
        <w:t xml:space="preserve">             </w:t>
      </w:r>
      <w:r w:rsidR="008C4D9B">
        <w:rPr>
          <w:b/>
        </w:rPr>
        <w:t>Table 1</w:t>
      </w:r>
      <w:r w:rsidR="00E43475" w:rsidRPr="00E43475">
        <w:rPr>
          <w:b/>
        </w:rPr>
        <w:t>.</w:t>
      </w:r>
      <w:r w:rsidR="00E43475">
        <w:rPr>
          <w:b/>
        </w:rPr>
        <w:t xml:space="preserve"> Demographic data of respondents</w:t>
      </w:r>
    </w:p>
    <w:p w14:paraId="20AC6AFE" w14:textId="77777777" w:rsidR="003B769D" w:rsidRDefault="003B769D" w:rsidP="00642502">
      <w:pPr>
        <w:contextualSpacing/>
        <w:jc w:val="both"/>
        <w:rPr>
          <w:b/>
        </w:rPr>
      </w:pPr>
    </w:p>
    <w:tbl>
      <w:tblPr>
        <w:tblW w:w="7110" w:type="dxa"/>
        <w:tblInd w:w="969" w:type="dxa"/>
        <w:tblLayout w:type="fixed"/>
        <w:tblLook w:val="0000" w:firstRow="0" w:lastRow="0" w:firstColumn="0" w:lastColumn="0" w:noHBand="0" w:noVBand="0"/>
      </w:tblPr>
      <w:tblGrid>
        <w:gridCol w:w="1890"/>
        <w:gridCol w:w="1352"/>
        <w:gridCol w:w="898"/>
        <w:gridCol w:w="990"/>
        <w:gridCol w:w="1080"/>
        <w:gridCol w:w="900"/>
      </w:tblGrid>
      <w:tr w:rsidR="0081265F" w14:paraId="48EB470C" w14:textId="77777777" w:rsidTr="003F6C84">
        <w:trPr>
          <w:gridBefore w:val="2"/>
          <w:wBefore w:w="3242" w:type="dxa"/>
          <w:trHeight w:val="505"/>
        </w:trPr>
        <w:tc>
          <w:tcPr>
            <w:tcW w:w="3868" w:type="dxa"/>
            <w:gridSpan w:val="4"/>
            <w:shd w:val="clear" w:color="auto" w:fill="9CC2E5" w:themeFill="accent1" w:themeFillTint="99"/>
          </w:tcPr>
          <w:p w14:paraId="7475091B" w14:textId="6D09FE2E" w:rsidR="003B769D" w:rsidRDefault="003B769D" w:rsidP="00642502">
            <w:pPr>
              <w:contextualSpacing/>
              <w:jc w:val="both"/>
              <w:rPr>
                <w:b/>
              </w:rPr>
            </w:pPr>
            <w:r w:rsidRPr="0081265F">
              <w:rPr>
                <w:b/>
                <w:sz w:val="28"/>
              </w:rPr>
              <w:t>Demographic Variables</w:t>
            </w:r>
          </w:p>
        </w:tc>
      </w:tr>
      <w:tr w:rsidR="0081265F" w:rsidRPr="00571538" w14:paraId="353164D2" w14:textId="77777777" w:rsidTr="003F6C84">
        <w:tblPrEx>
          <w:tblLook w:val="04A0" w:firstRow="1" w:lastRow="0" w:firstColumn="1" w:lastColumn="0" w:noHBand="0" w:noVBand="1"/>
        </w:tblPrEx>
        <w:trPr>
          <w:trHeight w:val="320"/>
        </w:trPr>
        <w:tc>
          <w:tcPr>
            <w:tcW w:w="1890" w:type="dxa"/>
            <w:shd w:val="clear" w:color="D9E1F2" w:fill="D9E1F2"/>
            <w:noWrap/>
            <w:vAlign w:val="bottom"/>
            <w:hideMark/>
          </w:tcPr>
          <w:p w14:paraId="371721F3" w14:textId="0F0F4261" w:rsidR="003B769D" w:rsidRPr="0081265F" w:rsidRDefault="003B769D" w:rsidP="00642502">
            <w:pPr>
              <w:jc w:val="both"/>
              <w:rPr>
                <w:rFonts w:ascii="Calibri" w:eastAsia="Times New Roman" w:hAnsi="Calibri"/>
                <w:b/>
                <w:bCs/>
                <w:color w:val="000000"/>
                <w:sz w:val="21"/>
              </w:rPr>
            </w:pPr>
            <w:r w:rsidRPr="0081265F">
              <w:rPr>
                <w:rFonts w:ascii="Calibri" w:eastAsia="Times New Roman" w:hAnsi="Calibri"/>
                <w:b/>
                <w:bCs/>
                <w:color w:val="000000"/>
                <w:sz w:val="21"/>
              </w:rPr>
              <w:t>HEIs</w:t>
            </w:r>
          </w:p>
        </w:tc>
        <w:tc>
          <w:tcPr>
            <w:tcW w:w="1352" w:type="dxa"/>
            <w:shd w:val="clear" w:color="D9E1F2" w:fill="D9E1F2"/>
            <w:noWrap/>
            <w:vAlign w:val="bottom"/>
            <w:hideMark/>
          </w:tcPr>
          <w:p w14:paraId="0D7E31E9" w14:textId="57722B79" w:rsidR="003B769D" w:rsidRPr="0081265F" w:rsidRDefault="003B769D" w:rsidP="00642502">
            <w:pPr>
              <w:jc w:val="both"/>
              <w:rPr>
                <w:rFonts w:ascii="Calibri" w:eastAsia="Times New Roman" w:hAnsi="Calibri"/>
                <w:b/>
                <w:bCs/>
                <w:color w:val="000000"/>
                <w:sz w:val="21"/>
              </w:rPr>
            </w:pPr>
            <w:r w:rsidRPr="0081265F">
              <w:rPr>
                <w:rFonts w:ascii="Calibri" w:eastAsia="Times New Roman" w:hAnsi="Calibri"/>
                <w:b/>
                <w:bCs/>
                <w:color w:val="000000"/>
                <w:sz w:val="21"/>
              </w:rPr>
              <w:t>Total # of respondents</w:t>
            </w:r>
          </w:p>
        </w:tc>
        <w:tc>
          <w:tcPr>
            <w:tcW w:w="898" w:type="dxa"/>
            <w:shd w:val="clear" w:color="D9E1F2" w:fill="D9E1F2"/>
            <w:noWrap/>
            <w:vAlign w:val="bottom"/>
            <w:hideMark/>
          </w:tcPr>
          <w:p w14:paraId="3D4D67D3" w14:textId="77777777" w:rsidR="003B769D" w:rsidRPr="0081265F" w:rsidRDefault="003B769D" w:rsidP="00642502">
            <w:pPr>
              <w:jc w:val="both"/>
              <w:rPr>
                <w:rFonts w:ascii="Calibri" w:eastAsia="Times New Roman" w:hAnsi="Calibri"/>
                <w:b/>
                <w:bCs/>
                <w:color w:val="000000"/>
                <w:sz w:val="21"/>
              </w:rPr>
            </w:pPr>
            <w:r w:rsidRPr="0081265F">
              <w:rPr>
                <w:rFonts w:ascii="Calibri" w:eastAsia="Times New Roman" w:hAnsi="Calibri"/>
                <w:b/>
                <w:bCs/>
                <w:color w:val="000000"/>
                <w:sz w:val="21"/>
              </w:rPr>
              <w:t>Male</w:t>
            </w:r>
          </w:p>
        </w:tc>
        <w:tc>
          <w:tcPr>
            <w:tcW w:w="990" w:type="dxa"/>
            <w:shd w:val="clear" w:color="D9E1F2" w:fill="D9E1F2"/>
            <w:noWrap/>
            <w:vAlign w:val="bottom"/>
            <w:hideMark/>
          </w:tcPr>
          <w:p w14:paraId="5D94DB9F" w14:textId="77777777" w:rsidR="003B769D" w:rsidRPr="0081265F" w:rsidRDefault="003B769D" w:rsidP="00642502">
            <w:pPr>
              <w:jc w:val="both"/>
              <w:rPr>
                <w:rFonts w:ascii="Calibri" w:eastAsia="Times New Roman" w:hAnsi="Calibri"/>
                <w:b/>
                <w:bCs/>
                <w:color w:val="000000"/>
                <w:sz w:val="21"/>
              </w:rPr>
            </w:pPr>
            <w:r w:rsidRPr="0081265F">
              <w:rPr>
                <w:rFonts w:ascii="Calibri" w:eastAsia="Times New Roman" w:hAnsi="Calibri"/>
                <w:b/>
                <w:bCs/>
                <w:color w:val="000000"/>
                <w:sz w:val="21"/>
              </w:rPr>
              <w:t>Female</w:t>
            </w:r>
          </w:p>
        </w:tc>
        <w:tc>
          <w:tcPr>
            <w:tcW w:w="1080" w:type="dxa"/>
            <w:shd w:val="clear" w:color="D9E1F2" w:fill="D9E1F2"/>
            <w:noWrap/>
            <w:vAlign w:val="bottom"/>
            <w:hideMark/>
          </w:tcPr>
          <w:p w14:paraId="32BA5807" w14:textId="77777777" w:rsidR="003B769D" w:rsidRPr="0081265F" w:rsidRDefault="003B769D" w:rsidP="00642502">
            <w:pPr>
              <w:jc w:val="both"/>
              <w:rPr>
                <w:rFonts w:ascii="Calibri" w:eastAsia="Times New Roman" w:hAnsi="Calibri"/>
                <w:b/>
                <w:bCs/>
                <w:color w:val="000000"/>
                <w:sz w:val="21"/>
              </w:rPr>
            </w:pPr>
            <w:r w:rsidRPr="0081265F">
              <w:rPr>
                <w:rFonts w:ascii="Calibri" w:eastAsia="Times New Roman" w:hAnsi="Calibri"/>
                <w:b/>
                <w:bCs/>
                <w:color w:val="000000"/>
                <w:sz w:val="21"/>
              </w:rPr>
              <w:t>BA</w:t>
            </w:r>
          </w:p>
        </w:tc>
        <w:tc>
          <w:tcPr>
            <w:tcW w:w="900" w:type="dxa"/>
            <w:shd w:val="clear" w:color="D9E1F2" w:fill="D9E1F2"/>
            <w:noWrap/>
            <w:vAlign w:val="bottom"/>
            <w:hideMark/>
          </w:tcPr>
          <w:p w14:paraId="31CFC249" w14:textId="77777777" w:rsidR="003B769D" w:rsidRPr="0081265F" w:rsidRDefault="003B769D" w:rsidP="00642502">
            <w:pPr>
              <w:jc w:val="both"/>
              <w:rPr>
                <w:rFonts w:ascii="Calibri" w:eastAsia="Times New Roman" w:hAnsi="Calibri"/>
                <w:b/>
                <w:bCs/>
                <w:color w:val="000000"/>
                <w:sz w:val="21"/>
              </w:rPr>
            </w:pPr>
            <w:r w:rsidRPr="0081265F">
              <w:rPr>
                <w:rFonts w:ascii="Calibri" w:eastAsia="Times New Roman" w:hAnsi="Calibri"/>
                <w:b/>
                <w:bCs/>
                <w:color w:val="000000"/>
                <w:sz w:val="21"/>
              </w:rPr>
              <w:t>MA</w:t>
            </w:r>
          </w:p>
        </w:tc>
      </w:tr>
      <w:tr w:rsidR="0081265F" w:rsidRPr="00571538" w14:paraId="46F525BB" w14:textId="77777777" w:rsidTr="003F6C84">
        <w:tblPrEx>
          <w:tblLook w:val="04A0" w:firstRow="1" w:lastRow="0" w:firstColumn="1" w:lastColumn="0" w:noHBand="0" w:noVBand="1"/>
        </w:tblPrEx>
        <w:trPr>
          <w:trHeight w:val="320"/>
        </w:trPr>
        <w:tc>
          <w:tcPr>
            <w:tcW w:w="1890" w:type="dxa"/>
            <w:shd w:val="clear" w:color="auto" w:fill="auto"/>
            <w:noWrap/>
            <w:vAlign w:val="bottom"/>
            <w:hideMark/>
          </w:tcPr>
          <w:p w14:paraId="42F5A77A" w14:textId="119154AA" w:rsidR="003B769D" w:rsidRPr="0081265F" w:rsidRDefault="003B769D" w:rsidP="00642502">
            <w:pPr>
              <w:jc w:val="both"/>
              <w:rPr>
                <w:rFonts w:ascii="Calibri" w:eastAsia="Times New Roman" w:hAnsi="Calibri"/>
                <w:color w:val="000000"/>
                <w:sz w:val="21"/>
              </w:rPr>
            </w:pPr>
            <w:r w:rsidRPr="0081265F">
              <w:rPr>
                <w:rFonts w:ascii="Calibri" w:eastAsia="Times New Roman" w:hAnsi="Calibri"/>
                <w:color w:val="000000"/>
                <w:sz w:val="21"/>
              </w:rPr>
              <w:t>ADA University</w:t>
            </w:r>
          </w:p>
        </w:tc>
        <w:tc>
          <w:tcPr>
            <w:tcW w:w="1352" w:type="dxa"/>
            <w:shd w:val="clear" w:color="auto" w:fill="auto"/>
            <w:noWrap/>
            <w:vAlign w:val="bottom"/>
            <w:hideMark/>
          </w:tcPr>
          <w:p w14:paraId="6526CF55" w14:textId="77777777" w:rsidR="003B769D" w:rsidRPr="0081265F" w:rsidRDefault="003B769D" w:rsidP="00642502">
            <w:pPr>
              <w:jc w:val="both"/>
              <w:rPr>
                <w:rFonts w:ascii="Calibri" w:eastAsia="Times New Roman" w:hAnsi="Calibri"/>
                <w:color w:val="000000"/>
                <w:sz w:val="21"/>
              </w:rPr>
            </w:pPr>
            <w:r w:rsidRPr="0081265F">
              <w:rPr>
                <w:rFonts w:ascii="Calibri" w:eastAsia="Times New Roman" w:hAnsi="Calibri"/>
                <w:color w:val="000000"/>
                <w:sz w:val="21"/>
              </w:rPr>
              <w:t>645</w:t>
            </w:r>
          </w:p>
        </w:tc>
        <w:tc>
          <w:tcPr>
            <w:tcW w:w="898" w:type="dxa"/>
            <w:shd w:val="clear" w:color="auto" w:fill="auto"/>
            <w:noWrap/>
            <w:vAlign w:val="bottom"/>
            <w:hideMark/>
          </w:tcPr>
          <w:p w14:paraId="1CECCBD2" w14:textId="77777777" w:rsidR="003B769D" w:rsidRPr="0081265F" w:rsidRDefault="003B769D" w:rsidP="00642502">
            <w:pPr>
              <w:jc w:val="both"/>
              <w:rPr>
                <w:rFonts w:ascii="Calibri" w:eastAsia="Times New Roman" w:hAnsi="Calibri"/>
                <w:color w:val="000000"/>
                <w:sz w:val="21"/>
              </w:rPr>
            </w:pPr>
            <w:r w:rsidRPr="0081265F">
              <w:rPr>
                <w:rFonts w:ascii="Calibri" w:eastAsia="Times New Roman" w:hAnsi="Calibri"/>
                <w:color w:val="000000"/>
                <w:sz w:val="21"/>
              </w:rPr>
              <w:t>12.79%</w:t>
            </w:r>
          </w:p>
        </w:tc>
        <w:tc>
          <w:tcPr>
            <w:tcW w:w="990" w:type="dxa"/>
            <w:shd w:val="clear" w:color="auto" w:fill="auto"/>
            <w:noWrap/>
            <w:vAlign w:val="bottom"/>
            <w:hideMark/>
          </w:tcPr>
          <w:p w14:paraId="4353E5E5" w14:textId="77777777" w:rsidR="003B769D" w:rsidRPr="0081265F" w:rsidRDefault="003B769D" w:rsidP="00642502">
            <w:pPr>
              <w:jc w:val="both"/>
              <w:rPr>
                <w:rFonts w:ascii="Calibri" w:eastAsia="Times New Roman" w:hAnsi="Calibri"/>
                <w:color w:val="000000"/>
                <w:sz w:val="21"/>
              </w:rPr>
            </w:pPr>
            <w:r w:rsidRPr="0081265F">
              <w:rPr>
                <w:rFonts w:ascii="Calibri" w:eastAsia="Times New Roman" w:hAnsi="Calibri"/>
                <w:color w:val="000000"/>
                <w:sz w:val="21"/>
              </w:rPr>
              <w:t>14.08%</w:t>
            </w:r>
          </w:p>
        </w:tc>
        <w:tc>
          <w:tcPr>
            <w:tcW w:w="1080" w:type="dxa"/>
            <w:shd w:val="clear" w:color="auto" w:fill="auto"/>
            <w:noWrap/>
            <w:vAlign w:val="bottom"/>
            <w:hideMark/>
          </w:tcPr>
          <w:p w14:paraId="04A75B49" w14:textId="77777777" w:rsidR="003B769D" w:rsidRPr="0081265F" w:rsidRDefault="003B769D" w:rsidP="00642502">
            <w:pPr>
              <w:jc w:val="both"/>
              <w:rPr>
                <w:rFonts w:ascii="Calibri" w:eastAsia="Times New Roman" w:hAnsi="Calibri"/>
                <w:color w:val="000000"/>
                <w:sz w:val="21"/>
              </w:rPr>
            </w:pPr>
            <w:r w:rsidRPr="0081265F">
              <w:rPr>
                <w:rFonts w:ascii="Calibri" w:eastAsia="Times New Roman" w:hAnsi="Calibri"/>
                <w:color w:val="000000"/>
                <w:sz w:val="21"/>
              </w:rPr>
              <w:t>25.83%</w:t>
            </w:r>
          </w:p>
        </w:tc>
        <w:tc>
          <w:tcPr>
            <w:tcW w:w="900" w:type="dxa"/>
            <w:shd w:val="clear" w:color="auto" w:fill="auto"/>
            <w:noWrap/>
            <w:vAlign w:val="bottom"/>
            <w:hideMark/>
          </w:tcPr>
          <w:p w14:paraId="2365B1E0" w14:textId="77777777" w:rsidR="003B769D" w:rsidRPr="0081265F" w:rsidRDefault="003B769D" w:rsidP="00642502">
            <w:pPr>
              <w:jc w:val="both"/>
              <w:rPr>
                <w:rFonts w:ascii="Calibri" w:eastAsia="Times New Roman" w:hAnsi="Calibri"/>
                <w:color w:val="000000"/>
                <w:sz w:val="21"/>
              </w:rPr>
            </w:pPr>
            <w:r w:rsidRPr="0081265F">
              <w:rPr>
                <w:rFonts w:ascii="Calibri" w:eastAsia="Times New Roman" w:hAnsi="Calibri"/>
                <w:color w:val="000000"/>
                <w:sz w:val="21"/>
              </w:rPr>
              <w:t>1.00%</w:t>
            </w:r>
          </w:p>
        </w:tc>
      </w:tr>
      <w:tr w:rsidR="0081265F" w:rsidRPr="00571538" w14:paraId="35402BBE" w14:textId="77777777" w:rsidTr="003F6C84">
        <w:tblPrEx>
          <w:tblLook w:val="04A0" w:firstRow="1" w:lastRow="0" w:firstColumn="1" w:lastColumn="0" w:noHBand="0" w:noVBand="1"/>
        </w:tblPrEx>
        <w:trPr>
          <w:trHeight w:val="320"/>
        </w:trPr>
        <w:tc>
          <w:tcPr>
            <w:tcW w:w="1890" w:type="dxa"/>
            <w:shd w:val="clear" w:color="auto" w:fill="auto"/>
            <w:noWrap/>
            <w:vAlign w:val="bottom"/>
            <w:hideMark/>
          </w:tcPr>
          <w:p w14:paraId="45B53F8A" w14:textId="645F60DD" w:rsidR="003B769D" w:rsidRPr="0081265F" w:rsidRDefault="003B769D" w:rsidP="00642502">
            <w:pPr>
              <w:jc w:val="both"/>
              <w:rPr>
                <w:rFonts w:ascii="Calibri" w:eastAsia="Times New Roman" w:hAnsi="Calibri"/>
                <w:color w:val="000000"/>
                <w:sz w:val="21"/>
              </w:rPr>
            </w:pPr>
            <w:r w:rsidRPr="0081265F">
              <w:rPr>
                <w:rFonts w:ascii="Calibri" w:eastAsia="Times New Roman" w:hAnsi="Calibri"/>
                <w:color w:val="000000"/>
                <w:sz w:val="21"/>
              </w:rPr>
              <w:t>Pedagogical University</w:t>
            </w:r>
          </w:p>
        </w:tc>
        <w:tc>
          <w:tcPr>
            <w:tcW w:w="1352" w:type="dxa"/>
            <w:shd w:val="clear" w:color="auto" w:fill="auto"/>
            <w:noWrap/>
            <w:vAlign w:val="bottom"/>
            <w:hideMark/>
          </w:tcPr>
          <w:p w14:paraId="55536B58" w14:textId="77777777" w:rsidR="003B769D" w:rsidRPr="0081265F" w:rsidRDefault="003B769D" w:rsidP="00642502">
            <w:pPr>
              <w:jc w:val="both"/>
              <w:rPr>
                <w:rFonts w:ascii="Calibri" w:eastAsia="Times New Roman" w:hAnsi="Calibri"/>
                <w:color w:val="000000"/>
                <w:sz w:val="21"/>
              </w:rPr>
            </w:pPr>
            <w:r w:rsidRPr="0081265F">
              <w:rPr>
                <w:rFonts w:ascii="Calibri" w:eastAsia="Times New Roman" w:hAnsi="Calibri"/>
                <w:color w:val="000000"/>
                <w:sz w:val="21"/>
              </w:rPr>
              <w:t>506</w:t>
            </w:r>
          </w:p>
        </w:tc>
        <w:tc>
          <w:tcPr>
            <w:tcW w:w="898" w:type="dxa"/>
            <w:shd w:val="clear" w:color="auto" w:fill="auto"/>
            <w:noWrap/>
            <w:vAlign w:val="bottom"/>
            <w:hideMark/>
          </w:tcPr>
          <w:p w14:paraId="7C4A037B" w14:textId="77777777" w:rsidR="003B769D" w:rsidRPr="0081265F" w:rsidRDefault="003B769D" w:rsidP="00642502">
            <w:pPr>
              <w:jc w:val="both"/>
              <w:rPr>
                <w:rFonts w:ascii="Calibri" w:eastAsia="Times New Roman" w:hAnsi="Calibri"/>
                <w:color w:val="000000"/>
                <w:sz w:val="21"/>
              </w:rPr>
            </w:pPr>
            <w:r w:rsidRPr="0081265F">
              <w:rPr>
                <w:rFonts w:ascii="Calibri" w:eastAsia="Times New Roman" w:hAnsi="Calibri"/>
                <w:color w:val="000000"/>
                <w:sz w:val="21"/>
              </w:rPr>
              <w:t>7.46%</w:t>
            </w:r>
          </w:p>
        </w:tc>
        <w:tc>
          <w:tcPr>
            <w:tcW w:w="990" w:type="dxa"/>
            <w:shd w:val="clear" w:color="auto" w:fill="auto"/>
            <w:noWrap/>
            <w:vAlign w:val="bottom"/>
            <w:hideMark/>
          </w:tcPr>
          <w:p w14:paraId="3E7470D5" w14:textId="77777777" w:rsidR="003B769D" w:rsidRPr="0081265F" w:rsidRDefault="003B769D" w:rsidP="00642502">
            <w:pPr>
              <w:jc w:val="both"/>
              <w:rPr>
                <w:rFonts w:ascii="Calibri" w:eastAsia="Times New Roman" w:hAnsi="Calibri"/>
                <w:color w:val="000000"/>
                <w:sz w:val="21"/>
              </w:rPr>
            </w:pPr>
            <w:r w:rsidRPr="0081265F">
              <w:rPr>
                <w:rFonts w:ascii="Calibri" w:eastAsia="Times New Roman" w:hAnsi="Calibri"/>
                <w:color w:val="000000"/>
                <w:sz w:val="21"/>
              </w:rPr>
              <w:t>13.63%</w:t>
            </w:r>
          </w:p>
        </w:tc>
        <w:tc>
          <w:tcPr>
            <w:tcW w:w="1080" w:type="dxa"/>
            <w:shd w:val="clear" w:color="auto" w:fill="auto"/>
            <w:noWrap/>
            <w:vAlign w:val="bottom"/>
            <w:hideMark/>
          </w:tcPr>
          <w:p w14:paraId="14196BA1" w14:textId="77777777" w:rsidR="003B769D" w:rsidRPr="0081265F" w:rsidRDefault="003B769D" w:rsidP="00642502">
            <w:pPr>
              <w:jc w:val="both"/>
              <w:rPr>
                <w:rFonts w:ascii="Calibri" w:eastAsia="Times New Roman" w:hAnsi="Calibri"/>
                <w:color w:val="000000"/>
                <w:sz w:val="21"/>
              </w:rPr>
            </w:pPr>
            <w:r w:rsidRPr="0081265F">
              <w:rPr>
                <w:rFonts w:ascii="Calibri" w:eastAsia="Times New Roman" w:hAnsi="Calibri"/>
                <w:color w:val="000000"/>
                <w:sz w:val="21"/>
              </w:rPr>
              <w:t>21.08%</w:t>
            </w:r>
          </w:p>
        </w:tc>
        <w:tc>
          <w:tcPr>
            <w:tcW w:w="900" w:type="dxa"/>
            <w:shd w:val="clear" w:color="auto" w:fill="auto"/>
            <w:noWrap/>
            <w:vAlign w:val="bottom"/>
            <w:hideMark/>
          </w:tcPr>
          <w:p w14:paraId="2E42C792" w14:textId="77777777" w:rsidR="003B769D" w:rsidRPr="0081265F" w:rsidRDefault="003B769D" w:rsidP="00642502">
            <w:pPr>
              <w:jc w:val="both"/>
              <w:rPr>
                <w:rFonts w:ascii="Calibri" w:eastAsia="Times New Roman" w:hAnsi="Calibri"/>
                <w:color w:val="000000"/>
                <w:sz w:val="21"/>
              </w:rPr>
            </w:pPr>
            <w:r w:rsidRPr="0081265F">
              <w:rPr>
                <w:rFonts w:ascii="Calibri" w:eastAsia="Times New Roman" w:hAnsi="Calibri"/>
                <w:color w:val="000000"/>
                <w:sz w:val="21"/>
              </w:rPr>
              <w:t>0.00%</w:t>
            </w:r>
          </w:p>
        </w:tc>
      </w:tr>
      <w:tr w:rsidR="0081265F" w:rsidRPr="00571538" w14:paraId="267C49A6" w14:textId="77777777" w:rsidTr="003F6C84">
        <w:tblPrEx>
          <w:tblLook w:val="04A0" w:firstRow="1" w:lastRow="0" w:firstColumn="1" w:lastColumn="0" w:noHBand="0" w:noVBand="1"/>
        </w:tblPrEx>
        <w:trPr>
          <w:trHeight w:val="320"/>
        </w:trPr>
        <w:tc>
          <w:tcPr>
            <w:tcW w:w="1890" w:type="dxa"/>
            <w:shd w:val="clear" w:color="auto" w:fill="auto"/>
            <w:noWrap/>
            <w:vAlign w:val="bottom"/>
            <w:hideMark/>
          </w:tcPr>
          <w:p w14:paraId="79DADA2F" w14:textId="2A05EAE1" w:rsidR="003B769D" w:rsidRPr="0081265F" w:rsidRDefault="003B769D" w:rsidP="00642502">
            <w:pPr>
              <w:jc w:val="both"/>
              <w:rPr>
                <w:rFonts w:ascii="Calibri" w:eastAsia="Times New Roman" w:hAnsi="Calibri"/>
                <w:color w:val="000000"/>
                <w:sz w:val="21"/>
              </w:rPr>
            </w:pPr>
            <w:r w:rsidRPr="0081265F">
              <w:rPr>
                <w:rFonts w:ascii="Calibri" w:eastAsia="Times New Roman" w:hAnsi="Calibri"/>
                <w:color w:val="000000"/>
                <w:sz w:val="21"/>
              </w:rPr>
              <w:lastRenderedPageBreak/>
              <w:t>University of Languages</w:t>
            </w:r>
          </w:p>
        </w:tc>
        <w:tc>
          <w:tcPr>
            <w:tcW w:w="1352" w:type="dxa"/>
            <w:shd w:val="clear" w:color="auto" w:fill="auto"/>
            <w:noWrap/>
            <w:vAlign w:val="bottom"/>
            <w:hideMark/>
          </w:tcPr>
          <w:p w14:paraId="5BF125D3" w14:textId="77777777" w:rsidR="003B769D" w:rsidRPr="0081265F" w:rsidRDefault="003B769D" w:rsidP="00642502">
            <w:pPr>
              <w:jc w:val="both"/>
              <w:rPr>
                <w:rFonts w:ascii="Calibri" w:eastAsia="Times New Roman" w:hAnsi="Calibri"/>
                <w:color w:val="000000"/>
                <w:sz w:val="21"/>
              </w:rPr>
            </w:pPr>
            <w:r w:rsidRPr="0081265F">
              <w:rPr>
                <w:rFonts w:ascii="Calibri" w:eastAsia="Times New Roman" w:hAnsi="Calibri"/>
                <w:color w:val="000000"/>
                <w:sz w:val="21"/>
              </w:rPr>
              <w:t>371</w:t>
            </w:r>
          </w:p>
        </w:tc>
        <w:tc>
          <w:tcPr>
            <w:tcW w:w="898" w:type="dxa"/>
            <w:shd w:val="clear" w:color="auto" w:fill="auto"/>
            <w:noWrap/>
            <w:vAlign w:val="bottom"/>
            <w:hideMark/>
          </w:tcPr>
          <w:p w14:paraId="4D44E718" w14:textId="77777777" w:rsidR="003B769D" w:rsidRPr="0081265F" w:rsidRDefault="003B769D" w:rsidP="00642502">
            <w:pPr>
              <w:jc w:val="both"/>
              <w:rPr>
                <w:rFonts w:ascii="Calibri" w:eastAsia="Times New Roman" w:hAnsi="Calibri"/>
                <w:color w:val="000000"/>
                <w:sz w:val="21"/>
              </w:rPr>
            </w:pPr>
            <w:r w:rsidRPr="0081265F">
              <w:rPr>
                <w:rFonts w:ascii="Calibri" w:eastAsia="Times New Roman" w:hAnsi="Calibri"/>
                <w:color w:val="000000"/>
                <w:sz w:val="21"/>
              </w:rPr>
              <w:t>1.13%</w:t>
            </w:r>
          </w:p>
        </w:tc>
        <w:tc>
          <w:tcPr>
            <w:tcW w:w="990" w:type="dxa"/>
            <w:shd w:val="clear" w:color="auto" w:fill="auto"/>
            <w:noWrap/>
            <w:vAlign w:val="bottom"/>
            <w:hideMark/>
          </w:tcPr>
          <w:p w14:paraId="67625C95" w14:textId="77777777" w:rsidR="003B769D" w:rsidRPr="0081265F" w:rsidRDefault="003B769D" w:rsidP="00642502">
            <w:pPr>
              <w:jc w:val="both"/>
              <w:rPr>
                <w:rFonts w:ascii="Calibri" w:eastAsia="Times New Roman" w:hAnsi="Calibri"/>
                <w:color w:val="000000"/>
                <w:sz w:val="21"/>
              </w:rPr>
            </w:pPr>
            <w:r w:rsidRPr="0081265F">
              <w:rPr>
                <w:rFonts w:ascii="Calibri" w:eastAsia="Times New Roman" w:hAnsi="Calibri"/>
                <w:color w:val="000000"/>
                <w:sz w:val="21"/>
              </w:rPr>
              <w:t>14.33%</w:t>
            </w:r>
          </w:p>
        </w:tc>
        <w:tc>
          <w:tcPr>
            <w:tcW w:w="1080" w:type="dxa"/>
            <w:shd w:val="clear" w:color="auto" w:fill="auto"/>
            <w:noWrap/>
            <w:vAlign w:val="bottom"/>
            <w:hideMark/>
          </w:tcPr>
          <w:p w14:paraId="4386AA4D" w14:textId="77777777" w:rsidR="003B769D" w:rsidRPr="0081265F" w:rsidRDefault="003B769D" w:rsidP="00642502">
            <w:pPr>
              <w:jc w:val="both"/>
              <w:rPr>
                <w:rFonts w:ascii="Calibri" w:eastAsia="Times New Roman" w:hAnsi="Calibri"/>
                <w:color w:val="000000"/>
                <w:sz w:val="21"/>
              </w:rPr>
            </w:pPr>
            <w:r w:rsidRPr="0081265F">
              <w:rPr>
                <w:rFonts w:ascii="Calibri" w:eastAsia="Times New Roman" w:hAnsi="Calibri"/>
                <w:color w:val="000000"/>
                <w:sz w:val="21"/>
              </w:rPr>
              <w:t>15.46%</w:t>
            </w:r>
          </w:p>
        </w:tc>
        <w:tc>
          <w:tcPr>
            <w:tcW w:w="900" w:type="dxa"/>
            <w:shd w:val="clear" w:color="auto" w:fill="auto"/>
            <w:noWrap/>
            <w:vAlign w:val="bottom"/>
            <w:hideMark/>
          </w:tcPr>
          <w:p w14:paraId="20403493" w14:textId="77777777" w:rsidR="003B769D" w:rsidRPr="0081265F" w:rsidRDefault="003B769D" w:rsidP="00642502">
            <w:pPr>
              <w:jc w:val="both"/>
              <w:rPr>
                <w:rFonts w:ascii="Calibri" w:eastAsia="Times New Roman" w:hAnsi="Calibri"/>
                <w:color w:val="000000"/>
                <w:sz w:val="21"/>
              </w:rPr>
            </w:pPr>
            <w:r w:rsidRPr="0081265F">
              <w:rPr>
                <w:rFonts w:ascii="Calibri" w:eastAsia="Times New Roman" w:hAnsi="Calibri"/>
                <w:color w:val="000000"/>
                <w:sz w:val="21"/>
              </w:rPr>
              <w:t>0.00%</w:t>
            </w:r>
          </w:p>
        </w:tc>
      </w:tr>
      <w:tr w:rsidR="0081265F" w:rsidRPr="00571538" w14:paraId="4F7B92BA" w14:textId="77777777" w:rsidTr="003F6C84">
        <w:tblPrEx>
          <w:tblLook w:val="04A0" w:firstRow="1" w:lastRow="0" w:firstColumn="1" w:lastColumn="0" w:noHBand="0" w:noVBand="1"/>
        </w:tblPrEx>
        <w:trPr>
          <w:trHeight w:val="320"/>
        </w:trPr>
        <w:tc>
          <w:tcPr>
            <w:tcW w:w="1890" w:type="dxa"/>
            <w:shd w:val="clear" w:color="auto" w:fill="auto"/>
            <w:noWrap/>
            <w:vAlign w:val="bottom"/>
            <w:hideMark/>
          </w:tcPr>
          <w:p w14:paraId="0922309C" w14:textId="559036BB" w:rsidR="003B769D" w:rsidRPr="0081265F" w:rsidRDefault="003B769D" w:rsidP="00642502">
            <w:pPr>
              <w:jc w:val="both"/>
              <w:rPr>
                <w:rFonts w:ascii="Calibri" w:eastAsia="Times New Roman" w:hAnsi="Calibri"/>
                <w:color w:val="000000"/>
                <w:sz w:val="21"/>
              </w:rPr>
            </w:pPr>
            <w:r w:rsidRPr="0081265F">
              <w:rPr>
                <w:rFonts w:ascii="Calibri" w:eastAsia="Times New Roman" w:hAnsi="Calibri"/>
                <w:color w:val="000000"/>
                <w:sz w:val="21"/>
              </w:rPr>
              <w:t>Technical University</w:t>
            </w:r>
          </w:p>
        </w:tc>
        <w:tc>
          <w:tcPr>
            <w:tcW w:w="1352" w:type="dxa"/>
            <w:shd w:val="clear" w:color="auto" w:fill="auto"/>
            <w:noWrap/>
            <w:vAlign w:val="bottom"/>
            <w:hideMark/>
          </w:tcPr>
          <w:p w14:paraId="7FAF9933" w14:textId="77777777" w:rsidR="003B769D" w:rsidRPr="0081265F" w:rsidRDefault="003B769D" w:rsidP="00642502">
            <w:pPr>
              <w:jc w:val="both"/>
              <w:rPr>
                <w:rFonts w:ascii="Calibri" w:eastAsia="Times New Roman" w:hAnsi="Calibri"/>
                <w:color w:val="000000"/>
                <w:sz w:val="21"/>
              </w:rPr>
            </w:pPr>
            <w:r w:rsidRPr="0081265F">
              <w:rPr>
                <w:rFonts w:ascii="Calibri" w:eastAsia="Times New Roman" w:hAnsi="Calibri"/>
                <w:color w:val="000000"/>
                <w:sz w:val="21"/>
              </w:rPr>
              <w:t>140</w:t>
            </w:r>
          </w:p>
        </w:tc>
        <w:tc>
          <w:tcPr>
            <w:tcW w:w="898" w:type="dxa"/>
            <w:shd w:val="clear" w:color="auto" w:fill="auto"/>
            <w:noWrap/>
            <w:vAlign w:val="bottom"/>
            <w:hideMark/>
          </w:tcPr>
          <w:p w14:paraId="0E953324" w14:textId="77777777" w:rsidR="003B769D" w:rsidRPr="0081265F" w:rsidRDefault="003B769D" w:rsidP="00642502">
            <w:pPr>
              <w:jc w:val="both"/>
              <w:rPr>
                <w:rFonts w:ascii="Calibri" w:eastAsia="Times New Roman" w:hAnsi="Calibri"/>
                <w:color w:val="000000"/>
                <w:sz w:val="21"/>
              </w:rPr>
            </w:pPr>
            <w:r w:rsidRPr="0081265F">
              <w:rPr>
                <w:rFonts w:ascii="Calibri" w:eastAsia="Times New Roman" w:hAnsi="Calibri"/>
                <w:color w:val="000000"/>
                <w:sz w:val="21"/>
              </w:rPr>
              <w:t>4.54%</w:t>
            </w:r>
          </w:p>
        </w:tc>
        <w:tc>
          <w:tcPr>
            <w:tcW w:w="990" w:type="dxa"/>
            <w:shd w:val="clear" w:color="auto" w:fill="auto"/>
            <w:noWrap/>
            <w:vAlign w:val="bottom"/>
            <w:hideMark/>
          </w:tcPr>
          <w:p w14:paraId="0CD79811" w14:textId="77777777" w:rsidR="003B769D" w:rsidRPr="0081265F" w:rsidRDefault="003B769D" w:rsidP="00642502">
            <w:pPr>
              <w:jc w:val="both"/>
              <w:rPr>
                <w:rFonts w:ascii="Calibri" w:eastAsia="Times New Roman" w:hAnsi="Calibri"/>
                <w:color w:val="000000"/>
                <w:sz w:val="21"/>
              </w:rPr>
            </w:pPr>
            <w:r w:rsidRPr="0081265F">
              <w:rPr>
                <w:rFonts w:ascii="Calibri" w:eastAsia="Times New Roman" w:hAnsi="Calibri"/>
                <w:color w:val="000000"/>
                <w:sz w:val="21"/>
              </w:rPr>
              <w:t>1.29%</w:t>
            </w:r>
          </w:p>
        </w:tc>
        <w:tc>
          <w:tcPr>
            <w:tcW w:w="1080" w:type="dxa"/>
            <w:shd w:val="clear" w:color="auto" w:fill="auto"/>
            <w:noWrap/>
            <w:vAlign w:val="bottom"/>
            <w:hideMark/>
          </w:tcPr>
          <w:p w14:paraId="45F16931" w14:textId="77777777" w:rsidR="003B769D" w:rsidRPr="0081265F" w:rsidRDefault="003B769D" w:rsidP="00642502">
            <w:pPr>
              <w:jc w:val="both"/>
              <w:rPr>
                <w:rFonts w:ascii="Calibri" w:eastAsia="Times New Roman" w:hAnsi="Calibri"/>
                <w:color w:val="000000"/>
                <w:sz w:val="21"/>
              </w:rPr>
            </w:pPr>
            <w:r w:rsidRPr="0081265F">
              <w:rPr>
                <w:rFonts w:ascii="Calibri" w:eastAsia="Times New Roman" w:hAnsi="Calibri"/>
                <w:color w:val="000000"/>
                <w:sz w:val="21"/>
              </w:rPr>
              <w:t>3.50%</w:t>
            </w:r>
          </w:p>
        </w:tc>
        <w:tc>
          <w:tcPr>
            <w:tcW w:w="900" w:type="dxa"/>
            <w:shd w:val="clear" w:color="auto" w:fill="auto"/>
            <w:noWrap/>
            <w:vAlign w:val="bottom"/>
            <w:hideMark/>
          </w:tcPr>
          <w:p w14:paraId="595D4C4C" w14:textId="77777777" w:rsidR="003B769D" w:rsidRPr="0081265F" w:rsidRDefault="003B769D" w:rsidP="00642502">
            <w:pPr>
              <w:jc w:val="both"/>
              <w:rPr>
                <w:rFonts w:ascii="Calibri" w:eastAsia="Times New Roman" w:hAnsi="Calibri"/>
                <w:color w:val="000000"/>
                <w:sz w:val="21"/>
              </w:rPr>
            </w:pPr>
            <w:r w:rsidRPr="0081265F">
              <w:rPr>
                <w:rFonts w:ascii="Calibri" w:eastAsia="Times New Roman" w:hAnsi="Calibri"/>
                <w:color w:val="000000"/>
                <w:sz w:val="21"/>
              </w:rPr>
              <w:t>2.33%</w:t>
            </w:r>
          </w:p>
        </w:tc>
      </w:tr>
      <w:tr w:rsidR="0081265F" w:rsidRPr="00571538" w14:paraId="73EB322D" w14:textId="77777777" w:rsidTr="003F6C84">
        <w:tblPrEx>
          <w:tblLook w:val="04A0" w:firstRow="1" w:lastRow="0" w:firstColumn="1" w:lastColumn="0" w:noHBand="0" w:noVBand="1"/>
        </w:tblPrEx>
        <w:trPr>
          <w:trHeight w:val="320"/>
        </w:trPr>
        <w:tc>
          <w:tcPr>
            <w:tcW w:w="1890" w:type="dxa"/>
            <w:shd w:val="clear" w:color="auto" w:fill="auto"/>
            <w:noWrap/>
            <w:vAlign w:val="bottom"/>
            <w:hideMark/>
          </w:tcPr>
          <w:p w14:paraId="52B8D0E5" w14:textId="7D3843F0" w:rsidR="003B769D" w:rsidRPr="0081265F" w:rsidRDefault="003B769D" w:rsidP="00642502">
            <w:pPr>
              <w:jc w:val="both"/>
              <w:rPr>
                <w:rFonts w:ascii="Calibri" w:eastAsia="Times New Roman" w:hAnsi="Calibri"/>
                <w:color w:val="000000"/>
                <w:sz w:val="21"/>
              </w:rPr>
            </w:pPr>
            <w:r w:rsidRPr="0081265F">
              <w:rPr>
                <w:rFonts w:ascii="Calibri" w:eastAsia="Times New Roman" w:hAnsi="Calibri"/>
                <w:color w:val="000000"/>
                <w:sz w:val="21"/>
              </w:rPr>
              <w:t>Baku State University</w:t>
            </w:r>
          </w:p>
        </w:tc>
        <w:tc>
          <w:tcPr>
            <w:tcW w:w="1352" w:type="dxa"/>
            <w:shd w:val="clear" w:color="auto" w:fill="auto"/>
            <w:noWrap/>
            <w:vAlign w:val="bottom"/>
            <w:hideMark/>
          </w:tcPr>
          <w:p w14:paraId="1732CD8A" w14:textId="77777777" w:rsidR="003B769D" w:rsidRPr="0081265F" w:rsidRDefault="003B769D" w:rsidP="00642502">
            <w:pPr>
              <w:jc w:val="both"/>
              <w:rPr>
                <w:rFonts w:ascii="Calibri" w:eastAsia="Times New Roman" w:hAnsi="Calibri"/>
                <w:color w:val="000000"/>
                <w:sz w:val="21"/>
              </w:rPr>
            </w:pPr>
            <w:r w:rsidRPr="0081265F">
              <w:rPr>
                <w:rFonts w:ascii="Calibri" w:eastAsia="Times New Roman" w:hAnsi="Calibri"/>
                <w:color w:val="000000"/>
                <w:sz w:val="21"/>
              </w:rPr>
              <w:t>157</w:t>
            </w:r>
          </w:p>
        </w:tc>
        <w:tc>
          <w:tcPr>
            <w:tcW w:w="898" w:type="dxa"/>
            <w:shd w:val="clear" w:color="auto" w:fill="auto"/>
            <w:noWrap/>
            <w:vAlign w:val="bottom"/>
            <w:hideMark/>
          </w:tcPr>
          <w:p w14:paraId="1303F3A3" w14:textId="77777777" w:rsidR="003B769D" w:rsidRPr="0081265F" w:rsidRDefault="003B769D" w:rsidP="00642502">
            <w:pPr>
              <w:jc w:val="both"/>
              <w:rPr>
                <w:rFonts w:ascii="Calibri" w:eastAsia="Times New Roman" w:hAnsi="Calibri"/>
                <w:color w:val="000000"/>
                <w:sz w:val="21"/>
              </w:rPr>
            </w:pPr>
            <w:r w:rsidRPr="0081265F">
              <w:rPr>
                <w:rFonts w:ascii="Calibri" w:eastAsia="Times New Roman" w:hAnsi="Calibri"/>
                <w:color w:val="000000"/>
                <w:sz w:val="21"/>
              </w:rPr>
              <w:t>0.92%</w:t>
            </w:r>
          </w:p>
        </w:tc>
        <w:tc>
          <w:tcPr>
            <w:tcW w:w="990" w:type="dxa"/>
            <w:shd w:val="clear" w:color="auto" w:fill="auto"/>
            <w:noWrap/>
            <w:vAlign w:val="bottom"/>
            <w:hideMark/>
          </w:tcPr>
          <w:p w14:paraId="19A67927" w14:textId="77777777" w:rsidR="003B769D" w:rsidRPr="0081265F" w:rsidRDefault="003B769D" w:rsidP="00642502">
            <w:pPr>
              <w:jc w:val="both"/>
              <w:rPr>
                <w:rFonts w:ascii="Calibri" w:eastAsia="Times New Roman" w:hAnsi="Calibri"/>
                <w:color w:val="000000"/>
                <w:sz w:val="21"/>
              </w:rPr>
            </w:pPr>
            <w:r w:rsidRPr="0081265F">
              <w:rPr>
                <w:rFonts w:ascii="Calibri" w:eastAsia="Times New Roman" w:hAnsi="Calibri"/>
                <w:color w:val="000000"/>
                <w:sz w:val="21"/>
              </w:rPr>
              <w:t>5.63%</w:t>
            </w:r>
          </w:p>
        </w:tc>
        <w:tc>
          <w:tcPr>
            <w:tcW w:w="1080" w:type="dxa"/>
            <w:shd w:val="clear" w:color="auto" w:fill="auto"/>
            <w:noWrap/>
            <w:vAlign w:val="bottom"/>
            <w:hideMark/>
          </w:tcPr>
          <w:p w14:paraId="228284D8" w14:textId="77777777" w:rsidR="003B769D" w:rsidRPr="0081265F" w:rsidRDefault="003B769D" w:rsidP="00642502">
            <w:pPr>
              <w:jc w:val="both"/>
              <w:rPr>
                <w:rFonts w:ascii="Calibri" w:eastAsia="Times New Roman" w:hAnsi="Calibri"/>
                <w:color w:val="000000"/>
                <w:sz w:val="21"/>
              </w:rPr>
            </w:pPr>
            <w:r w:rsidRPr="0081265F">
              <w:rPr>
                <w:rFonts w:ascii="Calibri" w:eastAsia="Times New Roman" w:hAnsi="Calibri"/>
                <w:color w:val="000000"/>
                <w:sz w:val="21"/>
              </w:rPr>
              <w:t>6.54%</w:t>
            </w:r>
          </w:p>
        </w:tc>
        <w:tc>
          <w:tcPr>
            <w:tcW w:w="900" w:type="dxa"/>
            <w:shd w:val="clear" w:color="auto" w:fill="auto"/>
            <w:noWrap/>
            <w:vAlign w:val="bottom"/>
            <w:hideMark/>
          </w:tcPr>
          <w:p w14:paraId="042F0460" w14:textId="77777777" w:rsidR="003B769D" w:rsidRPr="0081265F" w:rsidRDefault="003B769D" w:rsidP="00642502">
            <w:pPr>
              <w:jc w:val="both"/>
              <w:rPr>
                <w:rFonts w:ascii="Calibri" w:eastAsia="Times New Roman" w:hAnsi="Calibri"/>
                <w:color w:val="000000"/>
                <w:sz w:val="21"/>
              </w:rPr>
            </w:pPr>
            <w:r w:rsidRPr="0081265F">
              <w:rPr>
                <w:rFonts w:ascii="Calibri" w:eastAsia="Times New Roman" w:hAnsi="Calibri"/>
                <w:color w:val="000000"/>
                <w:sz w:val="21"/>
              </w:rPr>
              <w:t>0.00%</w:t>
            </w:r>
          </w:p>
        </w:tc>
      </w:tr>
      <w:tr w:rsidR="0081265F" w:rsidRPr="00571538" w14:paraId="001FE420" w14:textId="77777777" w:rsidTr="003F6C84">
        <w:tblPrEx>
          <w:tblLook w:val="04A0" w:firstRow="1" w:lastRow="0" w:firstColumn="1" w:lastColumn="0" w:noHBand="0" w:noVBand="1"/>
        </w:tblPrEx>
        <w:trPr>
          <w:trHeight w:val="320"/>
        </w:trPr>
        <w:tc>
          <w:tcPr>
            <w:tcW w:w="1890" w:type="dxa"/>
            <w:shd w:val="clear" w:color="auto" w:fill="auto"/>
            <w:noWrap/>
            <w:vAlign w:val="bottom"/>
            <w:hideMark/>
          </w:tcPr>
          <w:p w14:paraId="20F0D512" w14:textId="195856E3" w:rsidR="003B769D" w:rsidRPr="0081265F" w:rsidRDefault="003B769D" w:rsidP="00642502">
            <w:pPr>
              <w:jc w:val="both"/>
              <w:rPr>
                <w:rFonts w:ascii="Calibri" w:eastAsia="Times New Roman" w:hAnsi="Calibri"/>
                <w:color w:val="000000"/>
                <w:sz w:val="21"/>
              </w:rPr>
            </w:pPr>
            <w:r w:rsidRPr="0081265F">
              <w:rPr>
                <w:rFonts w:ascii="Calibri" w:eastAsia="Times New Roman" w:hAnsi="Calibri"/>
                <w:color w:val="000000"/>
                <w:sz w:val="21"/>
              </w:rPr>
              <w:t>University of Economics</w:t>
            </w:r>
          </w:p>
        </w:tc>
        <w:tc>
          <w:tcPr>
            <w:tcW w:w="1352" w:type="dxa"/>
            <w:shd w:val="clear" w:color="auto" w:fill="auto"/>
            <w:noWrap/>
            <w:vAlign w:val="bottom"/>
            <w:hideMark/>
          </w:tcPr>
          <w:p w14:paraId="522ADC98" w14:textId="77777777" w:rsidR="003B769D" w:rsidRPr="0081265F" w:rsidRDefault="003B769D" w:rsidP="00642502">
            <w:pPr>
              <w:jc w:val="both"/>
              <w:rPr>
                <w:rFonts w:ascii="Calibri" w:eastAsia="Times New Roman" w:hAnsi="Calibri"/>
                <w:color w:val="000000"/>
                <w:sz w:val="21"/>
              </w:rPr>
            </w:pPr>
            <w:r w:rsidRPr="0081265F">
              <w:rPr>
                <w:rFonts w:ascii="Calibri" w:eastAsia="Times New Roman" w:hAnsi="Calibri"/>
                <w:color w:val="000000"/>
                <w:sz w:val="21"/>
              </w:rPr>
              <w:t>581</w:t>
            </w:r>
          </w:p>
        </w:tc>
        <w:tc>
          <w:tcPr>
            <w:tcW w:w="898" w:type="dxa"/>
            <w:shd w:val="clear" w:color="auto" w:fill="auto"/>
            <w:noWrap/>
            <w:vAlign w:val="bottom"/>
            <w:hideMark/>
          </w:tcPr>
          <w:p w14:paraId="515D90E1" w14:textId="77777777" w:rsidR="003B769D" w:rsidRPr="0081265F" w:rsidRDefault="003B769D" w:rsidP="00642502">
            <w:pPr>
              <w:jc w:val="both"/>
              <w:rPr>
                <w:rFonts w:ascii="Calibri" w:eastAsia="Times New Roman" w:hAnsi="Calibri"/>
                <w:color w:val="000000"/>
                <w:sz w:val="21"/>
              </w:rPr>
            </w:pPr>
            <w:r w:rsidRPr="0081265F">
              <w:rPr>
                <w:rFonts w:ascii="Calibri" w:eastAsia="Times New Roman" w:hAnsi="Calibri"/>
                <w:color w:val="000000"/>
                <w:sz w:val="21"/>
              </w:rPr>
              <w:t>16.71%</w:t>
            </w:r>
          </w:p>
        </w:tc>
        <w:tc>
          <w:tcPr>
            <w:tcW w:w="990" w:type="dxa"/>
            <w:shd w:val="clear" w:color="auto" w:fill="auto"/>
            <w:noWrap/>
            <w:vAlign w:val="bottom"/>
            <w:hideMark/>
          </w:tcPr>
          <w:p w14:paraId="0D8BE387" w14:textId="77777777" w:rsidR="003B769D" w:rsidRPr="0081265F" w:rsidRDefault="003B769D" w:rsidP="00642502">
            <w:pPr>
              <w:jc w:val="both"/>
              <w:rPr>
                <w:rFonts w:ascii="Calibri" w:eastAsia="Times New Roman" w:hAnsi="Calibri"/>
                <w:color w:val="000000"/>
                <w:sz w:val="21"/>
              </w:rPr>
            </w:pPr>
            <w:r w:rsidRPr="0081265F">
              <w:rPr>
                <w:rFonts w:ascii="Calibri" w:eastAsia="Times New Roman" w:hAnsi="Calibri"/>
                <w:color w:val="000000"/>
                <w:sz w:val="21"/>
              </w:rPr>
              <w:t>7.50%</w:t>
            </w:r>
          </w:p>
        </w:tc>
        <w:tc>
          <w:tcPr>
            <w:tcW w:w="1080" w:type="dxa"/>
            <w:shd w:val="clear" w:color="auto" w:fill="auto"/>
            <w:noWrap/>
            <w:vAlign w:val="bottom"/>
            <w:hideMark/>
          </w:tcPr>
          <w:p w14:paraId="4AA47913" w14:textId="77777777" w:rsidR="003B769D" w:rsidRPr="0081265F" w:rsidRDefault="003B769D" w:rsidP="00642502">
            <w:pPr>
              <w:jc w:val="both"/>
              <w:rPr>
                <w:rFonts w:ascii="Calibri" w:eastAsia="Times New Roman" w:hAnsi="Calibri"/>
                <w:color w:val="000000"/>
                <w:sz w:val="21"/>
              </w:rPr>
            </w:pPr>
            <w:r w:rsidRPr="0081265F">
              <w:rPr>
                <w:rFonts w:ascii="Calibri" w:eastAsia="Times New Roman" w:hAnsi="Calibri"/>
                <w:color w:val="000000"/>
                <w:sz w:val="21"/>
              </w:rPr>
              <w:t>22.88%</w:t>
            </w:r>
          </w:p>
        </w:tc>
        <w:tc>
          <w:tcPr>
            <w:tcW w:w="900" w:type="dxa"/>
            <w:shd w:val="clear" w:color="auto" w:fill="auto"/>
            <w:noWrap/>
            <w:vAlign w:val="bottom"/>
            <w:hideMark/>
          </w:tcPr>
          <w:p w14:paraId="22C5AF3C" w14:textId="77777777" w:rsidR="003B769D" w:rsidRPr="0081265F" w:rsidRDefault="003B769D" w:rsidP="00642502">
            <w:pPr>
              <w:jc w:val="both"/>
              <w:rPr>
                <w:rFonts w:ascii="Calibri" w:eastAsia="Times New Roman" w:hAnsi="Calibri"/>
                <w:color w:val="000000"/>
                <w:sz w:val="21"/>
              </w:rPr>
            </w:pPr>
            <w:r w:rsidRPr="0081265F">
              <w:rPr>
                <w:rFonts w:ascii="Calibri" w:eastAsia="Times New Roman" w:hAnsi="Calibri"/>
                <w:color w:val="000000"/>
                <w:sz w:val="21"/>
              </w:rPr>
              <w:t>1.29%</w:t>
            </w:r>
          </w:p>
        </w:tc>
      </w:tr>
      <w:tr w:rsidR="0081265F" w:rsidRPr="00571538" w14:paraId="457F646B" w14:textId="77777777" w:rsidTr="003F6C84">
        <w:tblPrEx>
          <w:tblLook w:val="04A0" w:firstRow="1" w:lastRow="0" w:firstColumn="1" w:lastColumn="0" w:noHBand="0" w:noVBand="1"/>
        </w:tblPrEx>
        <w:trPr>
          <w:trHeight w:val="320"/>
        </w:trPr>
        <w:tc>
          <w:tcPr>
            <w:tcW w:w="1890" w:type="dxa"/>
            <w:shd w:val="clear" w:color="D9E1F2" w:fill="D9E1F2"/>
            <w:noWrap/>
            <w:vAlign w:val="bottom"/>
            <w:hideMark/>
          </w:tcPr>
          <w:p w14:paraId="627F4696" w14:textId="77777777" w:rsidR="003B769D" w:rsidRPr="0081265F" w:rsidRDefault="003B769D" w:rsidP="00642502">
            <w:pPr>
              <w:jc w:val="both"/>
              <w:rPr>
                <w:rFonts w:ascii="Calibri" w:eastAsia="Times New Roman" w:hAnsi="Calibri"/>
                <w:b/>
                <w:bCs/>
                <w:color w:val="000000"/>
                <w:sz w:val="21"/>
              </w:rPr>
            </w:pPr>
            <w:r w:rsidRPr="0081265F">
              <w:rPr>
                <w:rFonts w:ascii="Calibri" w:eastAsia="Times New Roman" w:hAnsi="Calibri"/>
                <w:b/>
                <w:bCs/>
                <w:color w:val="000000"/>
                <w:sz w:val="21"/>
              </w:rPr>
              <w:t>Grand Total</w:t>
            </w:r>
          </w:p>
        </w:tc>
        <w:tc>
          <w:tcPr>
            <w:tcW w:w="1352" w:type="dxa"/>
            <w:shd w:val="clear" w:color="D9E1F2" w:fill="D9E1F2"/>
            <w:noWrap/>
            <w:vAlign w:val="bottom"/>
            <w:hideMark/>
          </w:tcPr>
          <w:p w14:paraId="47C3D3B7" w14:textId="77777777" w:rsidR="003B769D" w:rsidRPr="0081265F" w:rsidRDefault="003B769D" w:rsidP="00642502">
            <w:pPr>
              <w:jc w:val="both"/>
              <w:rPr>
                <w:rFonts w:ascii="Calibri" w:eastAsia="Times New Roman" w:hAnsi="Calibri"/>
                <w:b/>
                <w:bCs/>
                <w:color w:val="000000"/>
                <w:sz w:val="21"/>
              </w:rPr>
            </w:pPr>
            <w:r w:rsidRPr="0081265F">
              <w:rPr>
                <w:rFonts w:ascii="Calibri" w:eastAsia="Times New Roman" w:hAnsi="Calibri"/>
                <w:b/>
                <w:bCs/>
                <w:color w:val="000000"/>
                <w:sz w:val="21"/>
              </w:rPr>
              <w:t>2400</w:t>
            </w:r>
          </w:p>
        </w:tc>
        <w:tc>
          <w:tcPr>
            <w:tcW w:w="898" w:type="dxa"/>
            <w:shd w:val="clear" w:color="D9E1F2" w:fill="D9E1F2"/>
            <w:noWrap/>
            <w:vAlign w:val="bottom"/>
            <w:hideMark/>
          </w:tcPr>
          <w:p w14:paraId="3E9DF8EF" w14:textId="77777777" w:rsidR="003B769D" w:rsidRPr="0081265F" w:rsidRDefault="003B769D" w:rsidP="00642502">
            <w:pPr>
              <w:jc w:val="both"/>
              <w:rPr>
                <w:rFonts w:ascii="Calibri" w:eastAsia="Times New Roman" w:hAnsi="Calibri"/>
                <w:b/>
                <w:bCs/>
                <w:color w:val="000000"/>
                <w:sz w:val="21"/>
              </w:rPr>
            </w:pPr>
            <w:r w:rsidRPr="0081265F">
              <w:rPr>
                <w:rFonts w:ascii="Calibri" w:eastAsia="Times New Roman" w:hAnsi="Calibri"/>
                <w:b/>
                <w:bCs/>
                <w:color w:val="000000"/>
                <w:sz w:val="21"/>
              </w:rPr>
              <w:t>43.54%</w:t>
            </w:r>
          </w:p>
        </w:tc>
        <w:tc>
          <w:tcPr>
            <w:tcW w:w="990" w:type="dxa"/>
            <w:shd w:val="clear" w:color="D9E1F2" w:fill="D9E1F2"/>
            <w:noWrap/>
            <w:vAlign w:val="bottom"/>
            <w:hideMark/>
          </w:tcPr>
          <w:p w14:paraId="4D63C06A" w14:textId="77777777" w:rsidR="003B769D" w:rsidRPr="0081265F" w:rsidRDefault="003B769D" w:rsidP="00642502">
            <w:pPr>
              <w:jc w:val="both"/>
              <w:rPr>
                <w:rFonts w:ascii="Calibri" w:eastAsia="Times New Roman" w:hAnsi="Calibri"/>
                <w:b/>
                <w:bCs/>
                <w:color w:val="000000"/>
                <w:sz w:val="21"/>
              </w:rPr>
            </w:pPr>
            <w:r w:rsidRPr="0081265F">
              <w:rPr>
                <w:rFonts w:ascii="Calibri" w:eastAsia="Times New Roman" w:hAnsi="Calibri"/>
                <w:b/>
                <w:bCs/>
                <w:color w:val="000000"/>
                <w:sz w:val="21"/>
              </w:rPr>
              <w:t>56.46%</w:t>
            </w:r>
          </w:p>
        </w:tc>
        <w:tc>
          <w:tcPr>
            <w:tcW w:w="1080" w:type="dxa"/>
            <w:shd w:val="clear" w:color="D9E1F2" w:fill="D9E1F2"/>
            <w:noWrap/>
            <w:vAlign w:val="bottom"/>
            <w:hideMark/>
          </w:tcPr>
          <w:p w14:paraId="06D98950" w14:textId="77777777" w:rsidR="003B769D" w:rsidRPr="0081265F" w:rsidRDefault="003B769D" w:rsidP="00642502">
            <w:pPr>
              <w:jc w:val="both"/>
              <w:rPr>
                <w:rFonts w:ascii="Calibri" w:eastAsia="Times New Roman" w:hAnsi="Calibri"/>
                <w:b/>
                <w:bCs/>
                <w:color w:val="000000"/>
                <w:sz w:val="21"/>
              </w:rPr>
            </w:pPr>
            <w:r w:rsidRPr="0081265F">
              <w:rPr>
                <w:rFonts w:ascii="Calibri" w:eastAsia="Times New Roman" w:hAnsi="Calibri"/>
                <w:b/>
                <w:bCs/>
                <w:color w:val="000000"/>
                <w:sz w:val="21"/>
              </w:rPr>
              <w:t>95.29%</w:t>
            </w:r>
          </w:p>
        </w:tc>
        <w:tc>
          <w:tcPr>
            <w:tcW w:w="900" w:type="dxa"/>
            <w:shd w:val="clear" w:color="D9E1F2" w:fill="D9E1F2"/>
            <w:noWrap/>
            <w:vAlign w:val="bottom"/>
            <w:hideMark/>
          </w:tcPr>
          <w:p w14:paraId="62757DA1" w14:textId="77777777" w:rsidR="003B769D" w:rsidRPr="0081265F" w:rsidRDefault="003B769D" w:rsidP="00642502">
            <w:pPr>
              <w:jc w:val="both"/>
              <w:rPr>
                <w:rFonts w:ascii="Calibri" w:eastAsia="Times New Roman" w:hAnsi="Calibri"/>
                <w:b/>
                <w:bCs/>
                <w:color w:val="000000"/>
                <w:sz w:val="21"/>
              </w:rPr>
            </w:pPr>
            <w:r w:rsidRPr="0081265F">
              <w:rPr>
                <w:rFonts w:ascii="Calibri" w:eastAsia="Times New Roman" w:hAnsi="Calibri"/>
                <w:b/>
                <w:bCs/>
                <w:color w:val="000000"/>
                <w:sz w:val="21"/>
              </w:rPr>
              <w:t>4.63%</w:t>
            </w:r>
          </w:p>
        </w:tc>
      </w:tr>
    </w:tbl>
    <w:p w14:paraId="1EBFCC7E" w14:textId="77777777" w:rsidR="00D36105" w:rsidRDefault="00D36105" w:rsidP="004E6FA3">
      <w:pPr>
        <w:contextualSpacing/>
        <w:jc w:val="both"/>
      </w:pPr>
    </w:p>
    <w:p w14:paraId="787866E0" w14:textId="6C61E901" w:rsidR="00AF28A2" w:rsidRDefault="00AB4110" w:rsidP="003F6C84">
      <w:pPr>
        <w:ind w:left="720"/>
        <w:contextualSpacing/>
        <w:jc w:val="both"/>
      </w:pPr>
      <w:r>
        <w:t xml:space="preserve">           </w:t>
      </w:r>
      <w:r w:rsidR="00EF5223">
        <w:t>Furthermore</w:t>
      </w:r>
      <w:r w:rsidR="0073384E">
        <w:t>, we asked question</w:t>
      </w:r>
      <w:r w:rsidR="00935AE4">
        <w:t>s</w:t>
      </w:r>
      <w:r w:rsidR="0073384E">
        <w:t xml:space="preserve"> about </w:t>
      </w:r>
      <w:r w:rsidR="004515E5">
        <w:t>the</w:t>
      </w:r>
      <w:r w:rsidR="00935AE4">
        <w:t xml:space="preserve"> </w:t>
      </w:r>
      <w:r w:rsidR="0073384E">
        <w:t xml:space="preserve">number of credits earned during </w:t>
      </w:r>
      <w:r w:rsidR="00935AE4">
        <w:t xml:space="preserve">the </w:t>
      </w:r>
      <w:r w:rsidR="0073384E">
        <w:t>first and second degrees</w:t>
      </w:r>
      <w:r w:rsidR="000E718D">
        <w:t xml:space="preserve"> to see </w:t>
      </w:r>
      <w:r w:rsidR="0073384E">
        <w:t>if</w:t>
      </w:r>
      <w:r w:rsidR="00017336">
        <w:t xml:space="preserve"> the process </w:t>
      </w:r>
      <w:r w:rsidR="00935AE4">
        <w:t>wa</w:t>
      </w:r>
      <w:r w:rsidR="00017336">
        <w:t>s understood by students</w:t>
      </w:r>
      <w:r w:rsidR="0073384E">
        <w:t>.</w:t>
      </w:r>
      <w:r w:rsidR="008C1A72">
        <w:t xml:space="preserve"> </w:t>
      </w:r>
      <w:r w:rsidR="003F6F91">
        <w:t xml:space="preserve"> As a rule</w:t>
      </w:r>
      <w:r w:rsidR="00935AE4">
        <w:t>,</w:t>
      </w:r>
      <w:r w:rsidR="003F6F91">
        <w:t xml:space="preserve"> </w:t>
      </w:r>
      <w:r w:rsidR="00BF5E81">
        <w:t>first-cycle programs fall under the category of 180-240 ECTS model</w:t>
      </w:r>
      <w:r w:rsidR="00DD0AE3">
        <w:t xml:space="preserve"> and second cycle under 90-120 ECTS. However, the alarming issue is that nearly half of the respondents have absolutely no idea about the number of credits earned during the studies. </w:t>
      </w:r>
      <w:r w:rsidR="008C4D9B">
        <w:t>(See Table 2).</w:t>
      </w:r>
    </w:p>
    <w:p w14:paraId="7D68DD73" w14:textId="1BA0495B" w:rsidR="00973AC2" w:rsidRDefault="00EE3448" w:rsidP="003F6C84">
      <w:pPr>
        <w:ind w:left="720"/>
        <w:contextualSpacing/>
        <w:jc w:val="both"/>
      </w:pPr>
      <w:r>
        <w:t xml:space="preserve">            </w:t>
      </w:r>
      <w:r w:rsidR="00AB4110">
        <w:t>The survey also shows that the participation of students in the design</w:t>
      </w:r>
      <w:r w:rsidR="003F6F91">
        <w:t>ing</w:t>
      </w:r>
      <w:r w:rsidR="00AB4110">
        <w:t xml:space="preserve"> of the curricula of study programs is not active enough to influence the reform process. To be more specific, </w:t>
      </w:r>
      <w:r w:rsidR="007A453B">
        <w:t>more than half of the respondents</w:t>
      </w:r>
      <w:r w:rsidR="00AB4110">
        <w:t xml:space="preserve"> claim that they did not participate at all in the process of redesigning the curricula, </w:t>
      </w:r>
      <w:r w:rsidR="007173CB">
        <w:t>and twenty-eight</w:t>
      </w:r>
      <w:r w:rsidR="00F50DF2">
        <w:t xml:space="preserve"> percent of</w:t>
      </w:r>
      <w:r w:rsidR="00AB4110">
        <w:t xml:space="preserve"> </w:t>
      </w:r>
      <w:proofErr w:type="gramStart"/>
      <w:r w:rsidR="007173CB">
        <w:t>students</w:t>
      </w:r>
      <w:proofErr w:type="gramEnd"/>
      <w:r w:rsidR="00AB4110">
        <w:t xml:space="preserve"> state that they d</w:t>
      </w:r>
      <w:r w:rsidR="00935AE4">
        <w:t>id</w:t>
      </w:r>
      <w:r w:rsidR="00AB4110">
        <w:t xml:space="preserve"> not have any idea about the curriculum design or reform (See Table 2).</w:t>
      </w:r>
    </w:p>
    <w:p w14:paraId="134F6266" w14:textId="77777777" w:rsidR="00AE7A63" w:rsidRDefault="00AE7A63" w:rsidP="00642502">
      <w:pPr>
        <w:contextualSpacing/>
        <w:jc w:val="both"/>
        <w:rPr>
          <w:b/>
        </w:rPr>
      </w:pPr>
    </w:p>
    <w:p w14:paraId="677EB03B" w14:textId="77777777" w:rsidR="00AE7A63" w:rsidRDefault="00AE7A63" w:rsidP="00642502">
      <w:pPr>
        <w:contextualSpacing/>
        <w:jc w:val="both"/>
        <w:rPr>
          <w:b/>
        </w:rPr>
      </w:pPr>
    </w:p>
    <w:p w14:paraId="023BA4B9" w14:textId="77777777" w:rsidR="00AE7A63" w:rsidRDefault="00AE7A63" w:rsidP="00642502">
      <w:pPr>
        <w:contextualSpacing/>
        <w:jc w:val="both"/>
        <w:rPr>
          <w:b/>
        </w:rPr>
      </w:pPr>
    </w:p>
    <w:p w14:paraId="3B046D14" w14:textId="00973201" w:rsidR="00973AC2" w:rsidRPr="00973AC2" w:rsidRDefault="00EE3448" w:rsidP="0024320D">
      <w:pPr>
        <w:contextualSpacing/>
        <w:jc w:val="both"/>
        <w:outlineLvl w:val="0"/>
        <w:rPr>
          <w:b/>
        </w:rPr>
      </w:pPr>
      <w:r>
        <w:rPr>
          <w:b/>
        </w:rPr>
        <w:t xml:space="preserve">           </w:t>
      </w:r>
      <w:r w:rsidR="00973AC2" w:rsidRPr="00973AC2">
        <w:rPr>
          <w:b/>
        </w:rPr>
        <w:t>Table 2.</w:t>
      </w:r>
    </w:p>
    <w:p w14:paraId="6C6C1B00" w14:textId="77777777" w:rsidR="00AB4110" w:rsidRDefault="00AB4110" w:rsidP="00642502">
      <w:pPr>
        <w:contextualSpacing/>
        <w:jc w:val="both"/>
      </w:pPr>
    </w:p>
    <w:tbl>
      <w:tblPr>
        <w:tblStyle w:val="TableGrid"/>
        <w:tblW w:w="9441" w:type="dxa"/>
        <w:tblInd w:w="6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
        <w:gridCol w:w="1501"/>
        <w:gridCol w:w="1366"/>
        <w:gridCol w:w="681"/>
        <w:gridCol w:w="1071"/>
        <w:gridCol w:w="1124"/>
        <w:gridCol w:w="1125"/>
        <w:gridCol w:w="1071"/>
      </w:tblGrid>
      <w:tr w:rsidR="00973AC2" w:rsidRPr="001D04C6" w14:paraId="36D231AE" w14:textId="24166085" w:rsidTr="00EE3448">
        <w:trPr>
          <w:trHeight w:val="831"/>
        </w:trPr>
        <w:tc>
          <w:tcPr>
            <w:tcW w:w="5050" w:type="dxa"/>
            <w:gridSpan w:val="4"/>
            <w:tcBorders>
              <w:bottom w:val="single" w:sz="12" w:space="0" w:color="auto"/>
            </w:tcBorders>
            <w:shd w:val="clear" w:color="auto" w:fill="BDD6EE" w:themeFill="accent1" w:themeFillTint="66"/>
          </w:tcPr>
          <w:p w14:paraId="525F8F97" w14:textId="642D2C08" w:rsidR="007173CB" w:rsidRPr="001D04C6" w:rsidRDefault="001D04C6" w:rsidP="00642502">
            <w:pPr>
              <w:contextualSpacing/>
              <w:jc w:val="both"/>
              <w:rPr>
                <w:b/>
                <w:sz w:val="22"/>
                <w:szCs w:val="22"/>
              </w:rPr>
            </w:pPr>
            <w:r>
              <w:rPr>
                <w:b/>
                <w:sz w:val="22"/>
                <w:szCs w:val="22"/>
              </w:rPr>
              <w:t xml:space="preserve"> </w:t>
            </w:r>
            <w:r w:rsidR="007173CB" w:rsidRPr="001D04C6">
              <w:rPr>
                <w:b/>
                <w:sz w:val="22"/>
                <w:szCs w:val="22"/>
              </w:rPr>
              <w:t>% of Students’ Participation in Curriculum Design</w:t>
            </w:r>
          </w:p>
        </w:tc>
        <w:tc>
          <w:tcPr>
            <w:tcW w:w="1071" w:type="dxa"/>
            <w:tcBorders>
              <w:bottom w:val="single" w:sz="12" w:space="0" w:color="auto"/>
              <w:right w:val="single" w:sz="12" w:space="0" w:color="auto"/>
            </w:tcBorders>
            <w:shd w:val="clear" w:color="auto" w:fill="BDD6EE" w:themeFill="accent1" w:themeFillTint="66"/>
          </w:tcPr>
          <w:p w14:paraId="37146860" w14:textId="77777777" w:rsidR="007173CB" w:rsidRPr="001D04C6" w:rsidRDefault="007173CB" w:rsidP="00642502">
            <w:pPr>
              <w:contextualSpacing/>
              <w:jc w:val="both"/>
              <w:rPr>
                <w:b/>
                <w:sz w:val="22"/>
                <w:szCs w:val="22"/>
              </w:rPr>
            </w:pPr>
          </w:p>
        </w:tc>
        <w:tc>
          <w:tcPr>
            <w:tcW w:w="2249" w:type="dxa"/>
            <w:gridSpan w:val="2"/>
            <w:tcBorders>
              <w:left w:val="single" w:sz="12" w:space="0" w:color="auto"/>
              <w:bottom w:val="single" w:sz="12" w:space="0" w:color="auto"/>
            </w:tcBorders>
            <w:shd w:val="clear" w:color="auto" w:fill="BDD6EE" w:themeFill="accent1" w:themeFillTint="66"/>
          </w:tcPr>
          <w:p w14:paraId="6621B964" w14:textId="54DF0B60" w:rsidR="007173CB" w:rsidRPr="001D04C6" w:rsidRDefault="003424A7" w:rsidP="00642502">
            <w:pPr>
              <w:contextualSpacing/>
              <w:jc w:val="both"/>
              <w:rPr>
                <w:b/>
                <w:sz w:val="22"/>
                <w:szCs w:val="22"/>
              </w:rPr>
            </w:pPr>
            <w:r w:rsidRPr="001D04C6">
              <w:rPr>
                <w:b/>
                <w:sz w:val="22"/>
                <w:szCs w:val="22"/>
              </w:rPr>
              <w:t xml:space="preserve">% of </w:t>
            </w:r>
            <w:r w:rsidR="007173CB" w:rsidRPr="001D04C6">
              <w:rPr>
                <w:b/>
                <w:sz w:val="22"/>
                <w:szCs w:val="22"/>
              </w:rPr>
              <w:t>Student</w:t>
            </w:r>
            <w:r w:rsidR="00A74996" w:rsidRPr="001D04C6">
              <w:rPr>
                <w:b/>
                <w:sz w:val="22"/>
                <w:szCs w:val="22"/>
              </w:rPr>
              <w:t xml:space="preserve">s who </w:t>
            </w:r>
            <w:r w:rsidR="004362E1" w:rsidRPr="001D04C6">
              <w:rPr>
                <w:b/>
                <w:sz w:val="22"/>
                <w:szCs w:val="22"/>
              </w:rPr>
              <w:t xml:space="preserve">are informed about </w:t>
            </w:r>
            <w:r w:rsidR="007173CB" w:rsidRPr="001D04C6">
              <w:rPr>
                <w:b/>
                <w:sz w:val="22"/>
                <w:szCs w:val="22"/>
              </w:rPr>
              <w:t>credit hours</w:t>
            </w:r>
          </w:p>
        </w:tc>
        <w:tc>
          <w:tcPr>
            <w:tcW w:w="1071" w:type="dxa"/>
            <w:tcBorders>
              <w:bottom w:val="single" w:sz="12" w:space="0" w:color="auto"/>
            </w:tcBorders>
            <w:shd w:val="clear" w:color="auto" w:fill="BDD6EE" w:themeFill="accent1" w:themeFillTint="66"/>
          </w:tcPr>
          <w:p w14:paraId="09819820" w14:textId="77777777" w:rsidR="007173CB" w:rsidRPr="001D04C6" w:rsidRDefault="007173CB" w:rsidP="00642502">
            <w:pPr>
              <w:contextualSpacing/>
              <w:jc w:val="both"/>
              <w:rPr>
                <w:b/>
                <w:sz w:val="22"/>
                <w:szCs w:val="22"/>
              </w:rPr>
            </w:pPr>
          </w:p>
        </w:tc>
      </w:tr>
      <w:tr w:rsidR="001D04C6" w:rsidRPr="001D04C6" w14:paraId="213C5AC6" w14:textId="4BB5B3E1" w:rsidTr="00EE3448">
        <w:trPr>
          <w:trHeight w:val="987"/>
        </w:trPr>
        <w:tc>
          <w:tcPr>
            <w:tcW w:w="1502" w:type="dxa"/>
            <w:tcBorders>
              <w:top w:val="single" w:sz="12" w:space="0" w:color="auto"/>
            </w:tcBorders>
            <w:shd w:val="clear" w:color="auto" w:fill="DEEAF6" w:themeFill="accent1" w:themeFillTint="33"/>
          </w:tcPr>
          <w:p w14:paraId="38C8BFD2" w14:textId="77777777" w:rsidR="007173CB" w:rsidRPr="001D04C6" w:rsidRDefault="007173CB" w:rsidP="00642502">
            <w:pPr>
              <w:contextualSpacing/>
              <w:jc w:val="both"/>
              <w:rPr>
                <w:b/>
                <w:sz w:val="22"/>
                <w:szCs w:val="22"/>
              </w:rPr>
            </w:pPr>
          </w:p>
          <w:p w14:paraId="58AB13A9" w14:textId="53F11E88" w:rsidR="007173CB" w:rsidRPr="001D04C6" w:rsidRDefault="007173CB" w:rsidP="00642502">
            <w:pPr>
              <w:contextualSpacing/>
              <w:jc w:val="both"/>
              <w:rPr>
                <w:b/>
                <w:sz w:val="22"/>
                <w:szCs w:val="22"/>
              </w:rPr>
            </w:pPr>
            <w:r w:rsidRPr="001D04C6">
              <w:rPr>
                <w:b/>
                <w:sz w:val="22"/>
                <w:szCs w:val="22"/>
              </w:rPr>
              <w:t>Participated</w:t>
            </w:r>
          </w:p>
        </w:tc>
        <w:tc>
          <w:tcPr>
            <w:tcW w:w="1501" w:type="dxa"/>
            <w:tcBorders>
              <w:top w:val="single" w:sz="12" w:space="0" w:color="auto"/>
            </w:tcBorders>
            <w:shd w:val="clear" w:color="auto" w:fill="DEEAF6" w:themeFill="accent1" w:themeFillTint="33"/>
          </w:tcPr>
          <w:p w14:paraId="361E2578" w14:textId="77777777" w:rsidR="007173CB" w:rsidRPr="001D04C6" w:rsidRDefault="007173CB" w:rsidP="00642502">
            <w:pPr>
              <w:contextualSpacing/>
              <w:jc w:val="both"/>
              <w:rPr>
                <w:b/>
                <w:sz w:val="22"/>
                <w:szCs w:val="22"/>
              </w:rPr>
            </w:pPr>
            <w:r w:rsidRPr="001D04C6">
              <w:rPr>
                <w:b/>
                <w:sz w:val="22"/>
                <w:szCs w:val="22"/>
              </w:rPr>
              <w:t>Partially Participated</w:t>
            </w:r>
          </w:p>
          <w:p w14:paraId="3D9035B9" w14:textId="3EB72CD8" w:rsidR="007173CB" w:rsidRPr="001D04C6" w:rsidRDefault="007173CB" w:rsidP="00642502">
            <w:pPr>
              <w:contextualSpacing/>
              <w:jc w:val="both"/>
              <w:rPr>
                <w:b/>
                <w:sz w:val="22"/>
                <w:szCs w:val="22"/>
              </w:rPr>
            </w:pPr>
          </w:p>
        </w:tc>
        <w:tc>
          <w:tcPr>
            <w:tcW w:w="1366" w:type="dxa"/>
            <w:tcBorders>
              <w:top w:val="single" w:sz="12" w:space="0" w:color="auto"/>
            </w:tcBorders>
            <w:shd w:val="clear" w:color="auto" w:fill="DEEAF6" w:themeFill="accent1" w:themeFillTint="33"/>
          </w:tcPr>
          <w:p w14:paraId="6069DED6" w14:textId="77777777" w:rsidR="007173CB" w:rsidRPr="001D04C6" w:rsidRDefault="007173CB" w:rsidP="00642502">
            <w:pPr>
              <w:contextualSpacing/>
              <w:jc w:val="both"/>
              <w:rPr>
                <w:b/>
                <w:sz w:val="22"/>
                <w:szCs w:val="22"/>
              </w:rPr>
            </w:pPr>
          </w:p>
          <w:p w14:paraId="58968F68" w14:textId="77777777" w:rsidR="007173CB" w:rsidRPr="001D04C6" w:rsidRDefault="007173CB" w:rsidP="00642502">
            <w:pPr>
              <w:contextualSpacing/>
              <w:jc w:val="both"/>
              <w:rPr>
                <w:b/>
                <w:sz w:val="22"/>
                <w:szCs w:val="22"/>
              </w:rPr>
            </w:pPr>
            <w:r w:rsidRPr="001D04C6">
              <w:rPr>
                <w:b/>
                <w:sz w:val="22"/>
                <w:szCs w:val="22"/>
              </w:rPr>
              <w:t>Did Not Participate</w:t>
            </w:r>
          </w:p>
          <w:p w14:paraId="2308768E" w14:textId="14404279" w:rsidR="007173CB" w:rsidRPr="001D04C6" w:rsidRDefault="007173CB" w:rsidP="00642502">
            <w:pPr>
              <w:contextualSpacing/>
              <w:jc w:val="both"/>
              <w:rPr>
                <w:b/>
                <w:sz w:val="22"/>
                <w:szCs w:val="22"/>
              </w:rPr>
            </w:pPr>
          </w:p>
        </w:tc>
        <w:tc>
          <w:tcPr>
            <w:tcW w:w="681" w:type="dxa"/>
            <w:tcBorders>
              <w:top w:val="single" w:sz="12" w:space="0" w:color="auto"/>
              <w:right w:val="single" w:sz="12" w:space="0" w:color="auto"/>
            </w:tcBorders>
            <w:shd w:val="clear" w:color="auto" w:fill="DEEAF6" w:themeFill="accent1" w:themeFillTint="33"/>
          </w:tcPr>
          <w:p w14:paraId="16B8DD09" w14:textId="77777777" w:rsidR="007173CB" w:rsidRPr="001D04C6" w:rsidRDefault="007173CB" w:rsidP="00642502">
            <w:pPr>
              <w:contextualSpacing/>
              <w:jc w:val="both"/>
              <w:rPr>
                <w:b/>
                <w:sz w:val="22"/>
                <w:szCs w:val="22"/>
              </w:rPr>
            </w:pPr>
          </w:p>
          <w:p w14:paraId="4D0465A1" w14:textId="77777777" w:rsidR="007173CB" w:rsidRPr="001D04C6" w:rsidRDefault="007173CB" w:rsidP="00642502">
            <w:pPr>
              <w:contextualSpacing/>
              <w:jc w:val="both"/>
              <w:rPr>
                <w:b/>
                <w:sz w:val="22"/>
                <w:szCs w:val="22"/>
              </w:rPr>
            </w:pPr>
            <w:r w:rsidRPr="001D04C6">
              <w:rPr>
                <w:b/>
                <w:sz w:val="22"/>
                <w:szCs w:val="22"/>
              </w:rPr>
              <w:t>No Idea</w:t>
            </w:r>
          </w:p>
          <w:p w14:paraId="3CBBB6A4" w14:textId="77777777" w:rsidR="007173CB" w:rsidRPr="001D04C6" w:rsidRDefault="007173CB" w:rsidP="00642502">
            <w:pPr>
              <w:contextualSpacing/>
              <w:jc w:val="both"/>
              <w:rPr>
                <w:b/>
                <w:sz w:val="22"/>
                <w:szCs w:val="22"/>
              </w:rPr>
            </w:pPr>
          </w:p>
        </w:tc>
        <w:tc>
          <w:tcPr>
            <w:tcW w:w="1071" w:type="dxa"/>
            <w:tcBorders>
              <w:left w:val="single" w:sz="12" w:space="0" w:color="auto"/>
              <w:right w:val="single" w:sz="12" w:space="0" w:color="auto"/>
            </w:tcBorders>
            <w:shd w:val="clear" w:color="auto" w:fill="E7E6E6" w:themeFill="background2"/>
          </w:tcPr>
          <w:p w14:paraId="085A93AA" w14:textId="77777777" w:rsidR="007173CB" w:rsidRPr="001D04C6" w:rsidRDefault="007173CB" w:rsidP="00642502">
            <w:pPr>
              <w:contextualSpacing/>
              <w:jc w:val="both"/>
              <w:rPr>
                <w:b/>
                <w:sz w:val="22"/>
                <w:szCs w:val="22"/>
              </w:rPr>
            </w:pPr>
            <w:r w:rsidRPr="001D04C6">
              <w:rPr>
                <w:b/>
                <w:sz w:val="22"/>
                <w:szCs w:val="22"/>
              </w:rPr>
              <w:t>TOTAL</w:t>
            </w:r>
          </w:p>
        </w:tc>
        <w:tc>
          <w:tcPr>
            <w:tcW w:w="1124" w:type="dxa"/>
            <w:tcBorders>
              <w:left w:val="single" w:sz="12" w:space="0" w:color="auto"/>
            </w:tcBorders>
            <w:shd w:val="clear" w:color="auto" w:fill="DEEAF6" w:themeFill="accent1" w:themeFillTint="33"/>
          </w:tcPr>
          <w:p w14:paraId="15DF8B52" w14:textId="77777777" w:rsidR="007173CB" w:rsidRPr="001D04C6" w:rsidRDefault="007173CB" w:rsidP="00642502">
            <w:pPr>
              <w:contextualSpacing/>
              <w:jc w:val="both"/>
              <w:rPr>
                <w:b/>
                <w:sz w:val="22"/>
                <w:szCs w:val="22"/>
              </w:rPr>
            </w:pPr>
            <w:r w:rsidRPr="001D04C6">
              <w:rPr>
                <w:b/>
                <w:sz w:val="22"/>
                <w:szCs w:val="22"/>
              </w:rPr>
              <w:t>Students who know</w:t>
            </w:r>
          </w:p>
        </w:tc>
        <w:tc>
          <w:tcPr>
            <w:tcW w:w="1125" w:type="dxa"/>
            <w:tcBorders>
              <w:right w:val="single" w:sz="12" w:space="0" w:color="auto"/>
            </w:tcBorders>
            <w:shd w:val="clear" w:color="auto" w:fill="DEEAF6" w:themeFill="accent1" w:themeFillTint="33"/>
          </w:tcPr>
          <w:p w14:paraId="6454B8A4" w14:textId="54A58DCA" w:rsidR="007173CB" w:rsidRPr="001D04C6" w:rsidRDefault="007173CB" w:rsidP="00642502">
            <w:pPr>
              <w:contextualSpacing/>
              <w:jc w:val="both"/>
              <w:rPr>
                <w:b/>
                <w:sz w:val="22"/>
                <w:szCs w:val="22"/>
              </w:rPr>
            </w:pPr>
            <w:r w:rsidRPr="001D04C6">
              <w:rPr>
                <w:b/>
                <w:sz w:val="22"/>
                <w:szCs w:val="22"/>
              </w:rPr>
              <w:t>Students who don’t know</w:t>
            </w:r>
          </w:p>
        </w:tc>
        <w:tc>
          <w:tcPr>
            <w:tcW w:w="1071" w:type="dxa"/>
            <w:tcBorders>
              <w:left w:val="single" w:sz="12" w:space="0" w:color="auto"/>
            </w:tcBorders>
            <w:shd w:val="clear" w:color="auto" w:fill="E7E6E6" w:themeFill="background2"/>
          </w:tcPr>
          <w:p w14:paraId="14C297AE" w14:textId="3CF6D749" w:rsidR="0034115C" w:rsidRPr="001D04C6" w:rsidRDefault="007173CB" w:rsidP="00642502">
            <w:pPr>
              <w:contextualSpacing/>
              <w:jc w:val="both"/>
              <w:rPr>
                <w:b/>
                <w:sz w:val="22"/>
                <w:szCs w:val="22"/>
              </w:rPr>
            </w:pPr>
            <w:r w:rsidRPr="001D04C6">
              <w:rPr>
                <w:b/>
                <w:sz w:val="22"/>
                <w:szCs w:val="22"/>
              </w:rPr>
              <w:t>TOTAL</w:t>
            </w:r>
          </w:p>
          <w:p w14:paraId="64ADE548" w14:textId="77777777" w:rsidR="007173CB" w:rsidRPr="001D04C6" w:rsidRDefault="007173CB" w:rsidP="00642502">
            <w:pPr>
              <w:jc w:val="both"/>
              <w:rPr>
                <w:sz w:val="22"/>
                <w:szCs w:val="22"/>
              </w:rPr>
            </w:pPr>
          </w:p>
        </w:tc>
      </w:tr>
      <w:tr w:rsidR="001D04C6" w:rsidRPr="001D04C6" w14:paraId="7C4F6569" w14:textId="0841B8FE" w:rsidTr="00EE3448">
        <w:trPr>
          <w:trHeight w:val="273"/>
        </w:trPr>
        <w:tc>
          <w:tcPr>
            <w:tcW w:w="1502" w:type="dxa"/>
          </w:tcPr>
          <w:p w14:paraId="237326B0" w14:textId="5ECEB060" w:rsidR="007173CB" w:rsidRPr="001D04C6" w:rsidRDefault="007173CB" w:rsidP="00642502">
            <w:pPr>
              <w:contextualSpacing/>
              <w:jc w:val="both"/>
              <w:rPr>
                <w:b/>
                <w:sz w:val="22"/>
                <w:szCs w:val="22"/>
              </w:rPr>
            </w:pPr>
            <w:r w:rsidRPr="001D04C6">
              <w:rPr>
                <w:b/>
                <w:sz w:val="22"/>
                <w:szCs w:val="22"/>
              </w:rPr>
              <w:t>3</w:t>
            </w:r>
            <w:r w:rsidR="00CC63AC">
              <w:rPr>
                <w:b/>
                <w:sz w:val="22"/>
                <w:szCs w:val="22"/>
              </w:rPr>
              <w:t>%</w:t>
            </w:r>
          </w:p>
        </w:tc>
        <w:tc>
          <w:tcPr>
            <w:tcW w:w="1501" w:type="dxa"/>
          </w:tcPr>
          <w:p w14:paraId="139FEFBA" w14:textId="3A51314A" w:rsidR="007173CB" w:rsidRPr="001D04C6" w:rsidRDefault="007173CB" w:rsidP="00642502">
            <w:pPr>
              <w:contextualSpacing/>
              <w:jc w:val="both"/>
              <w:rPr>
                <w:b/>
                <w:sz w:val="22"/>
                <w:szCs w:val="22"/>
              </w:rPr>
            </w:pPr>
            <w:r w:rsidRPr="001D04C6">
              <w:rPr>
                <w:b/>
                <w:sz w:val="22"/>
                <w:szCs w:val="22"/>
              </w:rPr>
              <w:t>12</w:t>
            </w:r>
            <w:r w:rsidR="00CC63AC">
              <w:rPr>
                <w:b/>
                <w:sz w:val="22"/>
                <w:szCs w:val="22"/>
              </w:rPr>
              <w:t>%</w:t>
            </w:r>
          </w:p>
        </w:tc>
        <w:tc>
          <w:tcPr>
            <w:tcW w:w="1366" w:type="dxa"/>
          </w:tcPr>
          <w:p w14:paraId="79BC787A" w14:textId="57DCA944" w:rsidR="007173CB" w:rsidRPr="001D04C6" w:rsidRDefault="007173CB" w:rsidP="00642502">
            <w:pPr>
              <w:contextualSpacing/>
              <w:jc w:val="both"/>
              <w:rPr>
                <w:b/>
                <w:sz w:val="22"/>
                <w:szCs w:val="22"/>
              </w:rPr>
            </w:pPr>
            <w:r w:rsidRPr="001D04C6">
              <w:rPr>
                <w:b/>
                <w:sz w:val="22"/>
                <w:szCs w:val="22"/>
              </w:rPr>
              <w:t>57</w:t>
            </w:r>
            <w:r w:rsidR="00CC63AC">
              <w:rPr>
                <w:b/>
                <w:sz w:val="22"/>
                <w:szCs w:val="22"/>
              </w:rPr>
              <w:t>%</w:t>
            </w:r>
          </w:p>
        </w:tc>
        <w:tc>
          <w:tcPr>
            <w:tcW w:w="681" w:type="dxa"/>
            <w:tcBorders>
              <w:right w:val="single" w:sz="12" w:space="0" w:color="auto"/>
            </w:tcBorders>
          </w:tcPr>
          <w:p w14:paraId="4E66CC37" w14:textId="4756772F" w:rsidR="007173CB" w:rsidRPr="001D04C6" w:rsidRDefault="007173CB" w:rsidP="00642502">
            <w:pPr>
              <w:contextualSpacing/>
              <w:jc w:val="both"/>
              <w:rPr>
                <w:b/>
                <w:sz w:val="22"/>
                <w:szCs w:val="22"/>
              </w:rPr>
            </w:pPr>
            <w:r w:rsidRPr="001D04C6">
              <w:rPr>
                <w:b/>
                <w:sz w:val="22"/>
                <w:szCs w:val="22"/>
              </w:rPr>
              <w:t>28</w:t>
            </w:r>
            <w:r w:rsidR="00CC63AC">
              <w:rPr>
                <w:b/>
                <w:sz w:val="22"/>
                <w:szCs w:val="22"/>
              </w:rPr>
              <w:t>%</w:t>
            </w:r>
          </w:p>
        </w:tc>
        <w:tc>
          <w:tcPr>
            <w:tcW w:w="1071" w:type="dxa"/>
            <w:tcBorders>
              <w:left w:val="single" w:sz="12" w:space="0" w:color="auto"/>
              <w:right w:val="single" w:sz="12" w:space="0" w:color="auto"/>
            </w:tcBorders>
            <w:shd w:val="clear" w:color="auto" w:fill="E7E6E6" w:themeFill="background2"/>
          </w:tcPr>
          <w:p w14:paraId="58B54966" w14:textId="5B272BFA" w:rsidR="007173CB" w:rsidRPr="001D04C6" w:rsidRDefault="007173CB" w:rsidP="00642502">
            <w:pPr>
              <w:contextualSpacing/>
              <w:jc w:val="both"/>
              <w:rPr>
                <w:b/>
                <w:sz w:val="22"/>
                <w:szCs w:val="22"/>
              </w:rPr>
            </w:pPr>
            <w:r w:rsidRPr="001D04C6">
              <w:rPr>
                <w:b/>
                <w:sz w:val="22"/>
                <w:szCs w:val="22"/>
              </w:rPr>
              <w:t xml:space="preserve"> 100</w:t>
            </w:r>
            <w:r w:rsidR="00CC63AC">
              <w:rPr>
                <w:b/>
                <w:sz w:val="22"/>
                <w:szCs w:val="22"/>
              </w:rPr>
              <w:t>%</w:t>
            </w:r>
          </w:p>
        </w:tc>
        <w:tc>
          <w:tcPr>
            <w:tcW w:w="1124" w:type="dxa"/>
            <w:tcBorders>
              <w:left w:val="single" w:sz="12" w:space="0" w:color="auto"/>
            </w:tcBorders>
          </w:tcPr>
          <w:p w14:paraId="3DCDABB7" w14:textId="08CEF0DD" w:rsidR="007173CB" w:rsidRPr="001D04C6" w:rsidRDefault="007173CB" w:rsidP="00642502">
            <w:pPr>
              <w:contextualSpacing/>
              <w:jc w:val="both"/>
              <w:rPr>
                <w:b/>
                <w:sz w:val="22"/>
                <w:szCs w:val="22"/>
              </w:rPr>
            </w:pPr>
            <w:r w:rsidRPr="001D04C6">
              <w:rPr>
                <w:b/>
                <w:sz w:val="22"/>
                <w:szCs w:val="22"/>
              </w:rPr>
              <w:t xml:space="preserve">      55</w:t>
            </w:r>
            <w:r w:rsidR="00CC63AC">
              <w:rPr>
                <w:b/>
                <w:sz w:val="22"/>
                <w:szCs w:val="22"/>
              </w:rPr>
              <w:t>%</w:t>
            </w:r>
          </w:p>
        </w:tc>
        <w:tc>
          <w:tcPr>
            <w:tcW w:w="1125" w:type="dxa"/>
            <w:tcBorders>
              <w:right w:val="single" w:sz="12" w:space="0" w:color="auto"/>
            </w:tcBorders>
          </w:tcPr>
          <w:p w14:paraId="66238919" w14:textId="05FAF600" w:rsidR="007173CB" w:rsidRPr="001D04C6" w:rsidRDefault="007173CB" w:rsidP="00642502">
            <w:pPr>
              <w:contextualSpacing/>
              <w:jc w:val="both"/>
              <w:rPr>
                <w:b/>
                <w:sz w:val="22"/>
                <w:szCs w:val="22"/>
              </w:rPr>
            </w:pPr>
            <w:r w:rsidRPr="001D04C6">
              <w:rPr>
                <w:b/>
                <w:sz w:val="22"/>
                <w:szCs w:val="22"/>
              </w:rPr>
              <w:t>45</w:t>
            </w:r>
            <w:r w:rsidR="00CC63AC">
              <w:rPr>
                <w:b/>
                <w:sz w:val="22"/>
                <w:szCs w:val="22"/>
              </w:rPr>
              <w:t>%</w:t>
            </w:r>
          </w:p>
        </w:tc>
        <w:tc>
          <w:tcPr>
            <w:tcW w:w="1071" w:type="dxa"/>
            <w:tcBorders>
              <w:left w:val="single" w:sz="12" w:space="0" w:color="auto"/>
            </w:tcBorders>
            <w:shd w:val="clear" w:color="auto" w:fill="E7E6E6" w:themeFill="background2"/>
          </w:tcPr>
          <w:p w14:paraId="5C62A663" w14:textId="07BC1BD2" w:rsidR="007173CB" w:rsidRPr="001D04C6" w:rsidRDefault="007173CB" w:rsidP="00642502">
            <w:pPr>
              <w:contextualSpacing/>
              <w:jc w:val="both"/>
              <w:rPr>
                <w:b/>
                <w:sz w:val="22"/>
                <w:szCs w:val="22"/>
              </w:rPr>
            </w:pPr>
            <w:r w:rsidRPr="001D04C6">
              <w:rPr>
                <w:b/>
                <w:sz w:val="22"/>
                <w:szCs w:val="22"/>
              </w:rPr>
              <w:t>100</w:t>
            </w:r>
            <w:r w:rsidR="00CC63AC">
              <w:rPr>
                <w:b/>
                <w:sz w:val="22"/>
                <w:szCs w:val="22"/>
              </w:rPr>
              <w:t>%</w:t>
            </w:r>
          </w:p>
        </w:tc>
      </w:tr>
    </w:tbl>
    <w:p w14:paraId="71DD3839" w14:textId="77777777" w:rsidR="00AB4110" w:rsidRDefault="00AB4110" w:rsidP="00642502">
      <w:pPr>
        <w:contextualSpacing/>
        <w:jc w:val="both"/>
        <w:rPr>
          <w:sz w:val="22"/>
          <w:szCs w:val="22"/>
        </w:rPr>
      </w:pPr>
    </w:p>
    <w:p w14:paraId="030EFE5A" w14:textId="77777777" w:rsidR="004E6FA3" w:rsidRPr="001D04C6" w:rsidRDefault="004E6FA3" w:rsidP="00642502">
      <w:pPr>
        <w:contextualSpacing/>
        <w:jc w:val="both"/>
        <w:rPr>
          <w:sz w:val="22"/>
          <w:szCs w:val="22"/>
        </w:rPr>
      </w:pPr>
    </w:p>
    <w:p w14:paraId="44589DC7" w14:textId="3CBAEF4D" w:rsidR="00AE4B48" w:rsidRPr="003656D2" w:rsidRDefault="00AB4110" w:rsidP="00EE3448">
      <w:pPr>
        <w:ind w:left="720"/>
        <w:contextualSpacing/>
        <w:jc w:val="both"/>
      </w:pPr>
      <w:r>
        <w:t xml:space="preserve">           </w:t>
      </w:r>
      <w:r w:rsidR="00513762">
        <w:t>Another debated issue regarding degree structure is the employability of graduates. The researchers</w:t>
      </w:r>
      <w:r w:rsidR="0097480A">
        <w:t xml:space="preserve"> wanted to know if the respondents </w:t>
      </w:r>
      <w:r w:rsidR="00513762">
        <w:t xml:space="preserve">see themselves </w:t>
      </w:r>
      <w:r w:rsidR="00935AE4">
        <w:t xml:space="preserve">as </w:t>
      </w:r>
      <w:r w:rsidR="00513762">
        <w:t xml:space="preserve">ready to </w:t>
      </w:r>
      <w:r w:rsidR="0097480A">
        <w:t xml:space="preserve">start out in employment when graduating from </w:t>
      </w:r>
      <w:r w:rsidR="00513762">
        <w:t xml:space="preserve">the </w:t>
      </w:r>
      <w:r w:rsidR="0097480A">
        <w:t xml:space="preserve">first cycle. </w:t>
      </w:r>
      <w:r w:rsidR="00920F93">
        <w:t xml:space="preserve">The results of the survey show that </w:t>
      </w:r>
      <w:r w:rsidR="006A08BB">
        <w:t xml:space="preserve">34 percent of the respondents strongly disagree and 25 percent disagree that it is possible to enter the labor market without finishing the second cycle whereas 25 percent agree and just 7 percent strongly agree with this statement. </w:t>
      </w:r>
      <w:r w:rsidR="00AF28A2">
        <w:t>O</w:t>
      </w:r>
      <w:r w:rsidR="006A08BB">
        <w:t>verall</w:t>
      </w:r>
      <w:r w:rsidR="00563A1A">
        <w:t>,</w:t>
      </w:r>
      <w:r w:rsidR="006A08BB">
        <w:t xml:space="preserve"> </w:t>
      </w:r>
      <w:r w:rsidR="00062E4A">
        <w:t xml:space="preserve">55 percent of students think that even if you can start employment life without </w:t>
      </w:r>
      <w:r w:rsidR="000C4213">
        <w:t>a m</w:t>
      </w:r>
      <w:r w:rsidR="00062E4A">
        <w:t>aster</w:t>
      </w:r>
      <w:r w:rsidR="000C4213">
        <w:t>’s</w:t>
      </w:r>
      <w:r w:rsidR="00062E4A">
        <w:t xml:space="preserve"> degree, job opportunities will be very limited, and only 34 percent see</w:t>
      </w:r>
      <w:r w:rsidR="00B95FA7">
        <w:t>s</w:t>
      </w:r>
      <w:r w:rsidR="00062E4A">
        <w:t xml:space="preserve"> the situation more optimistically. 11 percent however, stay undecided regarding this issue.</w:t>
      </w:r>
    </w:p>
    <w:p w14:paraId="35D6E795" w14:textId="5F1B5610" w:rsidR="00555014" w:rsidRPr="00B54575" w:rsidRDefault="003656D2" w:rsidP="00B54575">
      <w:pPr>
        <w:ind w:left="720"/>
        <w:contextualSpacing/>
        <w:jc w:val="both"/>
      </w:pPr>
      <w:r>
        <w:t xml:space="preserve">          </w:t>
      </w:r>
      <w:r w:rsidR="00E92E97">
        <w:t xml:space="preserve"> </w:t>
      </w:r>
      <w:r w:rsidR="00973AC2">
        <w:t>One more</w:t>
      </w:r>
      <w:r w:rsidR="00BC67CD">
        <w:t xml:space="preserve"> </w:t>
      </w:r>
      <w:r w:rsidR="0018540B">
        <w:t>crucial element of Bologna reform is the student i</w:t>
      </w:r>
      <w:r w:rsidR="00291143">
        <w:t xml:space="preserve">nvolvement in quality assurance. The researchers wanted to know if students from sample universities were involved at all levels of internal reviews, such as </w:t>
      </w:r>
      <w:r w:rsidR="00937F83">
        <w:t xml:space="preserve">evaluation of the institution, faculty, </w:t>
      </w:r>
      <w:r w:rsidR="00937F83">
        <w:lastRenderedPageBreak/>
        <w:t>program, and course</w:t>
      </w:r>
      <w:r w:rsidR="000C4213">
        <w:t>s</w:t>
      </w:r>
      <w:r w:rsidR="00EB5A48">
        <w:t xml:space="preserve">. Hence, the results display that </w:t>
      </w:r>
      <w:r w:rsidR="000332F0">
        <w:t>the students are mainly asked for their opinions</w:t>
      </w:r>
      <w:r w:rsidR="000F4289">
        <w:t xml:space="preserve"> </w:t>
      </w:r>
      <w:r w:rsidR="000332F0">
        <w:t>related to faculty and course</w:t>
      </w:r>
      <w:r w:rsidR="004C595A">
        <w:t>s in their HEIs. The students are rarely involved in the evaluation of the institution and are mainly exclud</w:t>
      </w:r>
      <w:r w:rsidR="008F596D">
        <w:t>ed from the</w:t>
      </w:r>
      <w:r w:rsidR="00F95252">
        <w:t xml:space="preserve"> program evaluation (See table 3</w:t>
      </w:r>
      <w:r w:rsidR="008F596D">
        <w:t>)</w:t>
      </w:r>
      <w:r w:rsidR="00B54575">
        <w:t>.</w:t>
      </w:r>
    </w:p>
    <w:p w14:paraId="107F1034" w14:textId="77777777" w:rsidR="00555014" w:rsidRDefault="00555014" w:rsidP="00642502">
      <w:pPr>
        <w:contextualSpacing/>
        <w:jc w:val="both"/>
        <w:rPr>
          <w:b/>
        </w:rPr>
      </w:pPr>
    </w:p>
    <w:p w14:paraId="759D62E5" w14:textId="77777777" w:rsidR="00555014" w:rsidRDefault="00555014" w:rsidP="00642502">
      <w:pPr>
        <w:contextualSpacing/>
        <w:jc w:val="both"/>
        <w:rPr>
          <w:b/>
        </w:rPr>
      </w:pPr>
    </w:p>
    <w:p w14:paraId="31E7DA63" w14:textId="77777777" w:rsidR="00555014" w:rsidRDefault="00555014" w:rsidP="00642502">
      <w:pPr>
        <w:contextualSpacing/>
        <w:jc w:val="both"/>
        <w:rPr>
          <w:b/>
        </w:rPr>
      </w:pPr>
    </w:p>
    <w:p w14:paraId="04A38EA5" w14:textId="6EB8B205" w:rsidR="00D36105" w:rsidRPr="003656D2" w:rsidRDefault="00EE3448" w:rsidP="0024320D">
      <w:pPr>
        <w:contextualSpacing/>
        <w:jc w:val="both"/>
        <w:outlineLvl w:val="0"/>
      </w:pPr>
      <w:r>
        <w:rPr>
          <w:b/>
        </w:rPr>
        <w:t xml:space="preserve">            </w:t>
      </w:r>
      <w:r w:rsidR="00F95252">
        <w:rPr>
          <w:b/>
        </w:rPr>
        <w:t>Table 3</w:t>
      </w:r>
      <w:r w:rsidR="0024224B" w:rsidRPr="0012536C">
        <w:rPr>
          <w:b/>
        </w:rPr>
        <w:t>.</w:t>
      </w:r>
      <w:r w:rsidR="008F596D">
        <w:rPr>
          <w:b/>
        </w:rPr>
        <w:t xml:space="preserve"> Student involvement in internal evaluation</w:t>
      </w:r>
    </w:p>
    <w:p w14:paraId="5EAAD25B" w14:textId="77777777" w:rsidR="00D028CC" w:rsidRDefault="00D028CC" w:rsidP="00642502">
      <w:pPr>
        <w:contextualSpacing/>
        <w:jc w:val="both"/>
        <w:rPr>
          <w:b/>
        </w:rPr>
      </w:pPr>
    </w:p>
    <w:tbl>
      <w:tblPr>
        <w:tblStyle w:val="TableGrid"/>
        <w:tblW w:w="9360" w:type="dxa"/>
        <w:tblInd w:w="609" w:type="dxa"/>
        <w:tblLook w:val="04A0" w:firstRow="1" w:lastRow="0" w:firstColumn="1" w:lastColumn="0" w:noHBand="0" w:noVBand="1"/>
      </w:tblPr>
      <w:tblGrid>
        <w:gridCol w:w="1989"/>
        <w:gridCol w:w="1625"/>
        <w:gridCol w:w="1920"/>
        <w:gridCol w:w="2107"/>
        <w:gridCol w:w="1719"/>
      </w:tblGrid>
      <w:tr w:rsidR="00A74996" w:rsidRPr="001D04C6" w14:paraId="65C72D65" w14:textId="499CCC0F" w:rsidTr="00EE3448">
        <w:trPr>
          <w:trHeight w:val="792"/>
        </w:trPr>
        <w:tc>
          <w:tcPr>
            <w:tcW w:w="1989" w:type="dxa"/>
            <w:tcBorders>
              <w:top w:val="nil"/>
              <w:left w:val="nil"/>
              <w:bottom w:val="nil"/>
              <w:right w:val="nil"/>
            </w:tcBorders>
            <w:shd w:val="clear" w:color="auto" w:fill="BDD6EE" w:themeFill="accent1" w:themeFillTint="66"/>
          </w:tcPr>
          <w:p w14:paraId="653018C6" w14:textId="77777777" w:rsidR="00A74996" w:rsidRPr="001D04C6" w:rsidRDefault="00A74996" w:rsidP="00642502">
            <w:pPr>
              <w:contextualSpacing/>
              <w:jc w:val="both"/>
              <w:rPr>
                <w:b/>
                <w:sz w:val="22"/>
                <w:szCs w:val="22"/>
              </w:rPr>
            </w:pPr>
            <w:r w:rsidRPr="001D04C6">
              <w:rPr>
                <w:b/>
                <w:sz w:val="22"/>
                <w:szCs w:val="22"/>
              </w:rPr>
              <w:t>Evaluation</w:t>
            </w:r>
          </w:p>
          <w:p w14:paraId="1142511D" w14:textId="47AC0A59" w:rsidR="00A74996" w:rsidRPr="001D04C6" w:rsidRDefault="00A74996" w:rsidP="00642502">
            <w:pPr>
              <w:contextualSpacing/>
              <w:jc w:val="both"/>
              <w:rPr>
                <w:b/>
                <w:sz w:val="22"/>
                <w:szCs w:val="22"/>
              </w:rPr>
            </w:pPr>
            <w:r w:rsidRPr="001D04C6">
              <w:rPr>
                <w:b/>
                <w:sz w:val="22"/>
                <w:szCs w:val="22"/>
              </w:rPr>
              <w:t>of</w:t>
            </w:r>
          </w:p>
        </w:tc>
        <w:tc>
          <w:tcPr>
            <w:tcW w:w="1625" w:type="dxa"/>
            <w:tcBorders>
              <w:top w:val="nil"/>
              <w:left w:val="nil"/>
              <w:bottom w:val="nil"/>
              <w:right w:val="nil"/>
            </w:tcBorders>
            <w:shd w:val="clear" w:color="auto" w:fill="BDD6EE" w:themeFill="accent1" w:themeFillTint="66"/>
          </w:tcPr>
          <w:p w14:paraId="77E65EAF" w14:textId="77777777" w:rsidR="00A74996" w:rsidRPr="001D04C6" w:rsidRDefault="00A74996" w:rsidP="00642502">
            <w:pPr>
              <w:contextualSpacing/>
              <w:jc w:val="both"/>
              <w:rPr>
                <w:b/>
                <w:sz w:val="22"/>
                <w:szCs w:val="22"/>
              </w:rPr>
            </w:pPr>
          </w:p>
          <w:p w14:paraId="01C302F5" w14:textId="0B147A38" w:rsidR="00A74996" w:rsidRPr="001D04C6" w:rsidRDefault="00A74996" w:rsidP="00642502">
            <w:pPr>
              <w:contextualSpacing/>
              <w:jc w:val="both"/>
              <w:rPr>
                <w:b/>
                <w:sz w:val="22"/>
                <w:szCs w:val="22"/>
              </w:rPr>
            </w:pPr>
            <w:r w:rsidRPr="001D04C6">
              <w:rPr>
                <w:b/>
                <w:sz w:val="22"/>
                <w:szCs w:val="22"/>
              </w:rPr>
              <w:t>% of students participated</w:t>
            </w:r>
          </w:p>
          <w:p w14:paraId="382E71E5" w14:textId="34C4BA60" w:rsidR="00A74996" w:rsidRPr="001D04C6" w:rsidRDefault="00A74996" w:rsidP="00642502">
            <w:pPr>
              <w:contextualSpacing/>
              <w:jc w:val="both"/>
              <w:rPr>
                <w:b/>
                <w:sz w:val="22"/>
                <w:szCs w:val="22"/>
              </w:rPr>
            </w:pPr>
          </w:p>
        </w:tc>
        <w:tc>
          <w:tcPr>
            <w:tcW w:w="1920" w:type="dxa"/>
            <w:tcBorders>
              <w:top w:val="nil"/>
              <w:left w:val="nil"/>
              <w:bottom w:val="nil"/>
              <w:right w:val="nil"/>
            </w:tcBorders>
            <w:shd w:val="clear" w:color="auto" w:fill="BDD6EE" w:themeFill="accent1" w:themeFillTint="66"/>
          </w:tcPr>
          <w:p w14:paraId="2BF7C241" w14:textId="7C3CB764" w:rsidR="00A74996" w:rsidRPr="001D04C6" w:rsidRDefault="00A74996" w:rsidP="00642502">
            <w:pPr>
              <w:contextualSpacing/>
              <w:jc w:val="both"/>
              <w:rPr>
                <w:b/>
                <w:sz w:val="22"/>
                <w:szCs w:val="22"/>
              </w:rPr>
            </w:pPr>
            <w:r w:rsidRPr="001D04C6">
              <w:rPr>
                <w:b/>
                <w:sz w:val="22"/>
                <w:szCs w:val="22"/>
              </w:rPr>
              <w:t>% of students partially participated</w:t>
            </w:r>
          </w:p>
          <w:p w14:paraId="68D4260C" w14:textId="4433BD67" w:rsidR="00A74996" w:rsidRPr="001D04C6" w:rsidRDefault="00A74996" w:rsidP="00642502">
            <w:pPr>
              <w:contextualSpacing/>
              <w:jc w:val="both"/>
              <w:rPr>
                <w:b/>
                <w:sz w:val="22"/>
                <w:szCs w:val="22"/>
              </w:rPr>
            </w:pPr>
          </w:p>
        </w:tc>
        <w:tc>
          <w:tcPr>
            <w:tcW w:w="2107" w:type="dxa"/>
            <w:tcBorders>
              <w:top w:val="nil"/>
              <w:left w:val="nil"/>
              <w:bottom w:val="nil"/>
              <w:right w:val="nil"/>
            </w:tcBorders>
            <w:shd w:val="clear" w:color="auto" w:fill="BDD6EE" w:themeFill="accent1" w:themeFillTint="66"/>
          </w:tcPr>
          <w:p w14:paraId="64EFA3E7" w14:textId="77777777" w:rsidR="00A74996" w:rsidRPr="001D04C6" w:rsidRDefault="00A74996" w:rsidP="00642502">
            <w:pPr>
              <w:contextualSpacing/>
              <w:jc w:val="both"/>
              <w:rPr>
                <w:b/>
                <w:sz w:val="22"/>
                <w:szCs w:val="22"/>
              </w:rPr>
            </w:pPr>
          </w:p>
          <w:p w14:paraId="5BCB5835" w14:textId="4C1A6ECC" w:rsidR="00A74996" w:rsidRPr="001D04C6" w:rsidRDefault="00A74996" w:rsidP="00642502">
            <w:pPr>
              <w:contextualSpacing/>
              <w:jc w:val="both"/>
              <w:rPr>
                <w:b/>
                <w:sz w:val="22"/>
                <w:szCs w:val="22"/>
              </w:rPr>
            </w:pPr>
            <w:r w:rsidRPr="001D04C6">
              <w:rPr>
                <w:b/>
                <w:sz w:val="22"/>
                <w:szCs w:val="22"/>
              </w:rPr>
              <w:t>% of students did not participate</w:t>
            </w:r>
          </w:p>
          <w:p w14:paraId="2DC47B9E" w14:textId="2D1971E9" w:rsidR="00A74996" w:rsidRPr="001D04C6" w:rsidRDefault="00A74996" w:rsidP="00642502">
            <w:pPr>
              <w:contextualSpacing/>
              <w:jc w:val="both"/>
              <w:rPr>
                <w:b/>
                <w:sz w:val="22"/>
                <w:szCs w:val="22"/>
              </w:rPr>
            </w:pPr>
          </w:p>
        </w:tc>
        <w:tc>
          <w:tcPr>
            <w:tcW w:w="1719" w:type="dxa"/>
            <w:tcBorders>
              <w:top w:val="nil"/>
              <w:left w:val="nil"/>
              <w:bottom w:val="nil"/>
              <w:right w:val="nil"/>
            </w:tcBorders>
            <w:shd w:val="clear" w:color="auto" w:fill="D5DCE4" w:themeFill="text2" w:themeFillTint="33"/>
          </w:tcPr>
          <w:p w14:paraId="598F16D7" w14:textId="77777777" w:rsidR="00A74996" w:rsidRPr="001D04C6" w:rsidRDefault="00A74996" w:rsidP="00642502">
            <w:pPr>
              <w:contextualSpacing/>
              <w:jc w:val="both"/>
              <w:rPr>
                <w:b/>
                <w:sz w:val="22"/>
                <w:szCs w:val="22"/>
              </w:rPr>
            </w:pPr>
          </w:p>
          <w:p w14:paraId="6B62300F" w14:textId="77777777" w:rsidR="00A74996" w:rsidRPr="001D04C6" w:rsidRDefault="00A74996" w:rsidP="00642502">
            <w:pPr>
              <w:contextualSpacing/>
              <w:jc w:val="both"/>
              <w:rPr>
                <w:b/>
                <w:sz w:val="22"/>
                <w:szCs w:val="22"/>
              </w:rPr>
            </w:pPr>
            <w:r w:rsidRPr="001D04C6">
              <w:rPr>
                <w:b/>
                <w:sz w:val="22"/>
                <w:szCs w:val="22"/>
              </w:rPr>
              <w:t>TOTAL</w:t>
            </w:r>
          </w:p>
          <w:p w14:paraId="1F4D2662" w14:textId="30DA9A26" w:rsidR="00A74996" w:rsidRPr="001D04C6" w:rsidRDefault="00A74996" w:rsidP="00642502">
            <w:pPr>
              <w:contextualSpacing/>
              <w:jc w:val="both"/>
              <w:rPr>
                <w:b/>
                <w:sz w:val="22"/>
                <w:szCs w:val="22"/>
              </w:rPr>
            </w:pPr>
            <w:r w:rsidRPr="001D04C6">
              <w:rPr>
                <w:b/>
                <w:sz w:val="22"/>
                <w:szCs w:val="22"/>
              </w:rPr>
              <w:t>%</w:t>
            </w:r>
          </w:p>
        </w:tc>
      </w:tr>
      <w:tr w:rsidR="00A74996" w:rsidRPr="001D04C6" w14:paraId="5DF12084" w14:textId="6DC63A4A" w:rsidTr="00EE3448">
        <w:trPr>
          <w:trHeight w:val="314"/>
        </w:trPr>
        <w:tc>
          <w:tcPr>
            <w:tcW w:w="1989" w:type="dxa"/>
            <w:tcBorders>
              <w:top w:val="nil"/>
              <w:left w:val="nil"/>
              <w:bottom w:val="nil"/>
              <w:right w:val="nil"/>
            </w:tcBorders>
          </w:tcPr>
          <w:p w14:paraId="25256318" w14:textId="386C3A93" w:rsidR="00A74996" w:rsidRPr="001D04C6" w:rsidRDefault="00A74996" w:rsidP="00642502">
            <w:pPr>
              <w:contextualSpacing/>
              <w:jc w:val="both"/>
              <w:rPr>
                <w:b/>
                <w:sz w:val="22"/>
                <w:szCs w:val="22"/>
              </w:rPr>
            </w:pPr>
            <w:r w:rsidRPr="001D04C6">
              <w:rPr>
                <w:b/>
                <w:sz w:val="22"/>
                <w:szCs w:val="22"/>
              </w:rPr>
              <w:t>University</w:t>
            </w:r>
          </w:p>
        </w:tc>
        <w:tc>
          <w:tcPr>
            <w:tcW w:w="1625" w:type="dxa"/>
            <w:tcBorders>
              <w:top w:val="nil"/>
              <w:left w:val="nil"/>
              <w:bottom w:val="nil"/>
              <w:right w:val="nil"/>
            </w:tcBorders>
          </w:tcPr>
          <w:p w14:paraId="26575CAC" w14:textId="1C94AB89" w:rsidR="00A74996" w:rsidRPr="001D04C6" w:rsidRDefault="00A74996" w:rsidP="00642502">
            <w:pPr>
              <w:contextualSpacing/>
              <w:jc w:val="both"/>
              <w:rPr>
                <w:b/>
                <w:sz w:val="22"/>
                <w:szCs w:val="22"/>
              </w:rPr>
            </w:pPr>
            <w:r w:rsidRPr="001D04C6">
              <w:rPr>
                <w:b/>
                <w:sz w:val="22"/>
                <w:szCs w:val="22"/>
              </w:rPr>
              <w:t>42</w:t>
            </w:r>
            <w:r w:rsidR="00CC63AC">
              <w:rPr>
                <w:b/>
                <w:sz w:val="22"/>
                <w:szCs w:val="22"/>
              </w:rPr>
              <w:t>%</w:t>
            </w:r>
          </w:p>
        </w:tc>
        <w:tc>
          <w:tcPr>
            <w:tcW w:w="1920" w:type="dxa"/>
            <w:tcBorders>
              <w:top w:val="nil"/>
              <w:left w:val="nil"/>
              <w:bottom w:val="nil"/>
              <w:right w:val="nil"/>
            </w:tcBorders>
          </w:tcPr>
          <w:p w14:paraId="008AFADF" w14:textId="439120F3" w:rsidR="00A74996" w:rsidRPr="001D04C6" w:rsidRDefault="00A74996" w:rsidP="00642502">
            <w:pPr>
              <w:contextualSpacing/>
              <w:jc w:val="both"/>
              <w:rPr>
                <w:b/>
                <w:sz w:val="22"/>
                <w:szCs w:val="22"/>
              </w:rPr>
            </w:pPr>
            <w:r w:rsidRPr="001D04C6">
              <w:rPr>
                <w:b/>
                <w:sz w:val="22"/>
                <w:szCs w:val="22"/>
              </w:rPr>
              <w:t>30</w:t>
            </w:r>
            <w:r w:rsidR="00CC63AC">
              <w:rPr>
                <w:b/>
                <w:sz w:val="22"/>
                <w:szCs w:val="22"/>
              </w:rPr>
              <w:t>%</w:t>
            </w:r>
          </w:p>
        </w:tc>
        <w:tc>
          <w:tcPr>
            <w:tcW w:w="2107" w:type="dxa"/>
            <w:tcBorders>
              <w:top w:val="nil"/>
              <w:left w:val="nil"/>
              <w:bottom w:val="nil"/>
              <w:right w:val="nil"/>
            </w:tcBorders>
          </w:tcPr>
          <w:p w14:paraId="6EC6DBF4" w14:textId="67736ECD" w:rsidR="00A74996" w:rsidRPr="001D04C6" w:rsidRDefault="00A74996" w:rsidP="00642502">
            <w:pPr>
              <w:contextualSpacing/>
              <w:jc w:val="both"/>
              <w:rPr>
                <w:b/>
                <w:sz w:val="22"/>
                <w:szCs w:val="22"/>
              </w:rPr>
            </w:pPr>
            <w:r w:rsidRPr="001D04C6">
              <w:rPr>
                <w:b/>
                <w:sz w:val="22"/>
                <w:szCs w:val="22"/>
              </w:rPr>
              <w:t>28</w:t>
            </w:r>
            <w:r w:rsidR="00CC63AC">
              <w:rPr>
                <w:b/>
                <w:sz w:val="22"/>
                <w:szCs w:val="22"/>
              </w:rPr>
              <w:t>%</w:t>
            </w:r>
          </w:p>
        </w:tc>
        <w:tc>
          <w:tcPr>
            <w:tcW w:w="1719" w:type="dxa"/>
            <w:tcBorders>
              <w:top w:val="nil"/>
              <w:left w:val="nil"/>
              <w:bottom w:val="nil"/>
              <w:right w:val="nil"/>
            </w:tcBorders>
            <w:shd w:val="clear" w:color="auto" w:fill="auto"/>
          </w:tcPr>
          <w:p w14:paraId="68B72E07" w14:textId="7D842540" w:rsidR="00A74996" w:rsidRPr="001D04C6" w:rsidRDefault="00A74996" w:rsidP="00642502">
            <w:pPr>
              <w:contextualSpacing/>
              <w:jc w:val="both"/>
              <w:rPr>
                <w:b/>
                <w:sz w:val="22"/>
                <w:szCs w:val="22"/>
              </w:rPr>
            </w:pPr>
            <w:r w:rsidRPr="001D04C6">
              <w:rPr>
                <w:b/>
                <w:sz w:val="22"/>
                <w:szCs w:val="22"/>
              </w:rPr>
              <w:t>100</w:t>
            </w:r>
            <w:r w:rsidR="00CC63AC">
              <w:rPr>
                <w:b/>
                <w:sz w:val="22"/>
                <w:szCs w:val="22"/>
              </w:rPr>
              <w:t>%</w:t>
            </w:r>
          </w:p>
        </w:tc>
      </w:tr>
      <w:tr w:rsidR="00A74996" w:rsidRPr="001D04C6" w14:paraId="6E25D8D3" w14:textId="566DBA34" w:rsidTr="00EE3448">
        <w:tc>
          <w:tcPr>
            <w:tcW w:w="1989" w:type="dxa"/>
            <w:tcBorders>
              <w:top w:val="nil"/>
              <w:left w:val="nil"/>
              <w:bottom w:val="nil"/>
              <w:right w:val="nil"/>
            </w:tcBorders>
          </w:tcPr>
          <w:p w14:paraId="06795D85" w14:textId="2B0FDD84" w:rsidR="00A74996" w:rsidRPr="001D04C6" w:rsidRDefault="00A74996" w:rsidP="00642502">
            <w:pPr>
              <w:contextualSpacing/>
              <w:jc w:val="both"/>
              <w:rPr>
                <w:b/>
                <w:sz w:val="22"/>
                <w:szCs w:val="22"/>
              </w:rPr>
            </w:pPr>
            <w:r w:rsidRPr="001D04C6">
              <w:rPr>
                <w:b/>
                <w:sz w:val="22"/>
                <w:szCs w:val="22"/>
              </w:rPr>
              <w:t>Instructor</w:t>
            </w:r>
          </w:p>
        </w:tc>
        <w:tc>
          <w:tcPr>
            <w:tcW w:w="1625" w:type="dxa"/>
            <w:tcBorders>
              <w:top w:val="nil"/>
              <w:left w:val="nil"/>
              <w:bottom w:val="nil"/>
              <w:right w:val="nil"/>
            </w:tcBorders>
          </w:tcPr>
          <w:p w14:paraId="79056A90" w14:textId="0E855813" w:rsidR="00A74996" w:rsidRPr="001D04C6" w:rsidRDefault="00A74996" w:rsidP="00642502">
            <w:pPr>
              <w:contextualSpacing/>
              <w:jc w:val="both"/>
              <w:rPr>
                <w:b/>
                <w:sz w:val="22"/>
                <w:szCs w:val="22"/>
              </w:rPr>
            </w:pPr>
            <w:r w:rsidRPr="001D04C6">
              <w:rPr>
                <w:b/>
                <w:sz w:val="22"/>
                <w:szCs w:val="22"/>
              </w:rPr>
              <w:t>40</w:t>
            </w:r>
            <w:r w:rsidR="00CC63AC">
              <w:rPr>
                <w:b/>
                <w:sz w:val="22"/>
                <w:szCs w:val="22"/>
              </w:rPr>
              <w:t>%</w:t>
            </w:r>
          </w:p>
        </w:tc>
        <w:tc>
          <w:tcPr>
            <w:tcW w:w="1920" w:type="dxa"/>
            <w:tcBorders>
              <w:top w:val="nil"/>
              <w:left w:val="nil"/>
              <w:bottom w:val="nil"/>
              <w:right w:val="nil"/>
            </w:tcBorders>
          </w:tcPr>
          <w:p w14:paraId="5FD61FCE" w14:textId="31A9EF6F" w:rsidR="00A74996" w:rsidRPr="001D04C6" w:rsidRDefault="00A74996" w:rsidP="00642502">
            <w:pPr>
              <w:contextualSpacing/>
              <w:jc w:val="both"/>
              <w:rPr>
                <w:b/>
                <w:sz w:val="22"/>
                <w:szCs w:val="22"/>
              </w:rPr>
            </w:pPr>
            <w:r w:rsidRPr="001D04C6">
              <w:rPr>
                <w:b/>
                <w:sz w:val="22"/>
                <w:szCs w:val="22"/>
              </w:rPr>
              <w:t>33</w:t>
            </w:r>
            <w:r w:rsidR="00CC63AC">
              <w:rPr>
                <w:b/>
                <w:sz w:val="22"/>
                <w:szCs w:val="22"/>
              </w:rPr>
              <w:t>%</w:t>
            </w:r>
          </w:p>
        </w:tc>
        <w:tc>
          <w:tcPr>
            <w:tcW w:w="2107" w:type="dxa"/>
            <w:tcBorders>
              <w:top w:val="nil"/>
              <w:left w:val="nil"/>
              <w:bottom w:val="nil"/>
              <w:right w:val="nil"/>
            </w:tcBorders>
          </w:tcPr>
          <w:p w14:paraId="348F07AA" w14:textId="526EA5E8" w:rsidR="00A74996" w:rsidRPr="001D04C6" w:rsidRDefault="00A74996" w:rsidP="00642502">
            <w:pPr>
              <w:contextualSpacing/>
              <w:jc w:val="both"/>
              <w:rPr>
                <w:b/>
                <w:sz w:val="22"/>
                <w:szCs w:val="22"/>
              </w:rPr>
            </w:pPr>
            <w:r w:rsidRPr="001D04C6">
              <w:rPr>
                <w:b/>
                <w:sz w:val="22"/>
                <w:szCs w:val="22"/>
              </w:rPr>
              <w:t>27</w:t>
            </w:r>
            <w:r w:rsidR="00CC63AC">
              <w:rPr>
                <w:b/>
                <w:sz w:val="22"/>
                <w:szCs w:val="22"/>
              </w:rPr>
              <w:t>%</w:t>
            </w:r>
          </w:p>
        </w:tc>
        <w:tc>
          <w:tcPr>
            <w:tcW w:w="1719" w:type="dxa"/>
            <w:tcBorders>
              <w:top w:val="nil"/>
              <w:left w:val="nil"/>
              <w:bottom w:val="nil"/>
              <w:right w:val="nil"/>
            </w:tcBorders>
            <w:shd w:val="clear" w:color="auto" w:fill="auto"/>
          </w:tcPr>
          <w:p w14:paraId="4A8D39CD" w14:textId="519616C3" w:rsidR="00A74996" w:rsidRPr="001D04C6" w:rsidRDefault="00A74996" w:rsidP="00642502">
            <w:pPr>
              <w:contextualSpacing/>
              <w:jc w:val="both"/>
              <w:rPr>
                <w:b/>
                <w:sz w:val="22"/>
                <w:szCs w:val="22"/>
              </w:rPr>
            </w:pPr>
            <w:r w:rsidRPr="001D04C6">
              <w:rPr>
                <w:b/>
                <w:sz w:val="22"/>
                <w:szCs w:val="22"/>
              </w:rPr>
              <w:t>100</w:t>
            </w:r>
            <w:r w:rsidR="00CC63AC">
              <w:rPr>
                <w:b/>
                <w:sz w:val="22"/>
                <w:szCs w:val="22"/>
              </w:rPr>
              <w:t>%</w:t>
            </w:r>
          </w:p>
        </w:tc>
      </w:tr>
      <w:tr w:rsidR="00A74996" w:rsidRPr="001D04C6" w14:paraId="076B950F" w14:textId="26EF504E" w:rsidTr="00EE3448">
        <w:tc>
          <w:tcPr>
            <w:tcW w:w="1989" w:type="dxa"/>
            <w:tcBorders>
              <w:top w:val="nil"/>
              <w:left w:val="nil"/>
              <w:bottom w:val="nil"/>
              <w:right w:val="nil"/>
            </w:tcBorders>
          </w:tcPr>
          <w:p w14:paraId="3CFC0F36" w14:textId="3F4CB706" w:rsidR="00A74996" w:rsidRPr="001D04C6" w:rsidRDefault="00A74996" w:rsidP="00642502">
            <w:pPr>
              <w:contextualSpacing/>
              <w:jc w:val="both"/>
              <w:rPr>
                <w:b/>
                <w:sz w:val="22"/>
                <w:szCs w:val="22"/>
              </w:rPr>
            </w:pPr>
            <w:r w:rsidRPr="001D04C6">
              <w:rPr>
                <w:b/>
                <w:sz w:val="22"/>
                <w:szCs w:val="22"/>
              </w:rPr>
              <w:t>Course</w:t>
            </w:r>
          </w:p>
        </w:tc>
        <w:tc>
          <w:tcPr>
            <w:tcW w:w="1625" w:type="dxa"/>
            <w:tcBorders>
              <w:top w:val="nil"/>
              <w:left w:val="nil"/>
              <w:bottom w:val="nil"/>
              <w:right w:val="nil"/>
            </w:tcBorders>
          </w:tcPr>
          <w:p w14:paraId="2CE06E80" w14:textId="2C90984F" w:rsidR="00A74996" w:rsidRPr="001D04C6" w:rsidRDefault="00A74996" w:rsidP="00642502">
            <w:pPr>
              <w:contextualSpacing/>
              <w:jc w:val="both"/>
              <w:rPr>
                <w:b/>
                <w:sz w:val="22"/>
                <w:szCs w:val="22"/>
              </w:rPr>
            </w:pPr>
            <w:r w:rsidRPr="001D04C6">
              <w:rPr>
                <w:b/>
                <w:sz w:val="22"/>
                <w:szCs w:val="22"/>
              </w:rPr>
              <w:t>18</w:t>
            </w:r>
            <w:r w:rsidR="00CC63AC">
              <w:rPr>
                <w:b/>
                <w:sz w:val="22"/>
                <w:szCs w:val="22"/>
              </w:rPr>
              <w:t>%</w:t>
            </w:r>
          </w:p>
        </w:tc>
        <w:tc>
          <w:tcPr>
            <w:tcW w:w="1920" w:type="dxa"/>
            <w:tcBorders>
              <w:top w:val="nil"/>
              <w:left w:val="nil"/>
              <w:bottom w:val="nil"/>
              <w:right w:val="nil"/>
            </w:tcBorders>
          </w:tcPr>
          <w:p w14:paraId="38FBDCD9" w14:textId="5F53310A" w:rsidR="00A74996" w:rsidRPr="001D04C6" w:rsidRDefault="00A74996" w:rsidP="00642502">
            <w:pPr>
              <w:contextualSpacing/>
              <w:jc w:val="both"/>
              <w:rPr>
                <w:b/>
                <w:sz w:val="22"/>
                <w:szCs w:val="22"/>
              </w:rPr>
            </w:pPr>
            <w:r w:rsidRPr="001D04C6">
              <w:rPr>
                <w:b/>
                <w:sz w:val="22"/>
                <w:szCs w:val="22"/>
              </w:rPr>
              <w:t>31</w:t>
            </w:r>
            <w:r w:rsidR="00CC63AC">
              <w:rPr>
                <w:b/>
                <w:sz w:val="22"/>
                <w:szCs w:val="22"/>
              </w:rPr>
              <w:t>%</w:t>
            </w:r>
          </w:p>
        </w:tc>
        <w:tc>
          <w:tcPr>
            <w:tcW w:w="2107" w:type="dxa"/>
            <w:tcBorders>
              <w:top w:val="nil"/>
              <w:left w:val="nil"/>
              <w:bottom w:val="nil"/>
              <w:right w:val="nil"/>
            </w:tcBorders>
          </w:tcPr>
          <w:p w14:paraId="31543B16" w14:textId="79DFA3A6" w:rsidR="00A74996" w:rsidRPr="001D04C6" w:rsidRDefault="00A74996" w:rsidP="00642502">
            <w:pPr>
              <w:contextualSpacing/>
              <w:jc w:val="both"/>
              <w:rPr>
                <w:b/>
                <w:sz w:val="22"/>
                <w:szCs w:val="22"/>
              </w:rPr>
            </w:pPr>
            <w:r w:rsidRPr="001D04C6">
              <w:rPr>
                <w:b/>
                <w:sz w:val="22"/>
                <w:szCs w:val="22"/>
              </w:rPr>
              <w:t>51</w:t>
            </w:r>
            <w:r w:rsidR="00CC63AC">
              <w:rPr>
                <w:b/>
                <w:sz w:val="22"/>
                <w:szCs w:val="22"/>
              </w:rPr>
              <w:t>%</w:t>
            </w:r>
          </w:p>
        </w:tc>
        <w:tc>
          <w:tcPr>
            <w:tcW w:w="1719" w:type="dxa"/>
            <w:tcBorders>
              <w:top w:val="nil"/>
              <w:left w:val="nil"/>
              <w:bottom w:val="nil"/>
              <w:right w:val="nil"/>
            </w:tcBorders>
            <w:shd w:val="clear" w:color="auto" w:fill="auto"/>
          </w:tcPr>
          <w:p w14:paraId="45E88A37" w14:textId="05F42344" w:rsidR="00A74996" w:rsidRPr="001D04C6" w:rsidRDefault="00A74996" w:rsidP="00642502">
            <w:pPr>
              <w:contextualSpacing/>
              <w:jc w:val="both"/>
              <w:rPr>
                <w:b/>
                <w:sz w:val="22"/>
                <w:szCs w:val="22"/>
              </w:rPr>
            </w:pPr>
            <w:r w:rsidRPr="001D04C6">
              <w:rPr>
                <w:b/>
                <w:sz w:val="22"/>
                <w:szCs w:val="22"/>
              </w:rPr>
              <w:t>100</w:t>
            </w:r>
            <w:r w:rsidR="00CC63AC">
              <w:rPr>
                <w:b/>
                <w:sz w:val="22"/>
                <w:szCs w:val="22"/>
              </w:rPr>
              <w:t>%</w:t>
            </w:r>
          </w:p>
        </w:tc>
      </w:tr>
      <w:tr w:rsidR="00A74996" w:rsidRPr="001D04C6" w14:paraId="5439F2EA" w14:textId="050B3D92" w:rsidTr="00EE3448">
        <w:trPr>
          <w:trHeight w:val="234"/>
        </w:trPr>
        <w:tc>
          <w:tcPr>
            <w:tcW w:w="1989" w:type="dxa"/>
            <w:tcBorders>
              <w:top w:val="nil"/>
              <w:left w:val="nil"/>
              <w:bottom w:val="nil"/>
              <w:right w:val="nil"/>
            </w:tcBorders>
          </w:tcPr>
          <w:p w14:paraId="454220AA" w14:textId="316D5A43" w:rsidR="00A74996" w:rsidRPr="001D04C6" w:rsidRDefault="00A74996" w:rsidP="00642502">
            <w:pPr>
              <w:contextualSpacing/>
              <w:jc w:val="both"/>
              <w:rPr>
                <w:b/>
                <w:sz w:val="22"/>
                <w:szCs w:val="22"/>
              </w:rPr>
            </w:pPr>
            <w:r w:rsidRPr="001D04C6">
              <w:rPr>
                <w:b/>
                <w:sz w:val="22"/>
                <w:szCs w:val="22"/>
              </w:rPr>
              <w:t>Program</w:t>
            </w:r>
          </w:p>
        </w:tc>
        <w:tc>
          <w:tcPr>
            <w:tcW w:w="1625" w:type="dxa"/>
            <w:tcBorders>
              <w:top w:val="nil"/>
              <w:left w:val="nil"/>
              <w:bottom w:val="nil"/>
              <w:right w:val="nil"/>
            </w:tcBorders>
          </w:tcPr>
          <w:p w14:paraId="14EBE6C9" w14:textId="422FEC82" w:rsidR="00A74996" w:rsidRPr="001D04C6" w:rsidRDefault="00A74996" w:rsidP="00642502">
            <w:pPr>
              <w:contextualSpacing/>
              <w:jc w:val="both"/>
              <w:rPr>
                <w:b/>
                <w:sz w:val="22"/>
                <w:szCs w:val="22"/>
              </w:rPr>
            </w:pPr>
            <w:r w:rsidRPr="001D04C6">
              <w:rPr>
                <w:b/>
                <w:sz w:val="22"/>
                <w:szCs w:val="22"/>
              </w:rPr>
              <w:t>38</w:t>
            </w:r>
            <w:r w:rsidR="00CC63AC">
              <w:rPr>
                <w:b/>
                <w:sz w:val="22"/>
                <w:szCs w:val="22"/>
              </w:rPr>
              <w:t>%</w:t>
            </w:r>
          </w:p>
        </w:tc>
        <w:tc>
          <w:tcPr>
            <w:tcW w:w="1920" w:type="dxa"/>
            <w:tcBorders>
              <w:top w:val="nil"/>
              <w:left w:val="nil"/>
              <w:bottom w:val="nil"/>
              <w:right w:val="nil"/>
            </w:tcBorders>
          </w:tcPr>
          <w:p w14:paraId="39017C5F" w14:textId="158D43EC" w:rsidR="00A74996" w:rsidRPr="001D04C6" w:rsidRDefault="00A74996" w:rsidP="00642502">
            <w:pPr>
              <w:contextualSpacing/>
              <w:jc w:val="both"/>
              <w:rPr>
                <w:b/>
                <w:sz w:val="22"/>
                <w:szCs w:val="22"/>
              </w:rPr>
            </w:pPr>
            <w:r w:rsidRPr="001D04C6">
              <w:rPr>
                <w:b/>
                <w:sz w:val="22"/>
                <w:szCs w:val="22"/>
              </w:rPr>
              <w:t>30</w:t>
            </w:r>
            <w:r w:rsidR="00CC63AC">
              <w:rPr>
                <w:b/>
                <w:sz w:val="22"/>
                <w:szCs w:val="22"/>
              </w:rPr>
              <w:t>%</w:t>
            </w:r>
          </w:p>
        </w:tc>
        <w:tc>
          <w:tcPr>
            <w:tcW w:w="2107" w:type="dxa"/>
            <w:tcBorders>
              <w:top w:val="nil"/>
              <w:left w:val="nil"/>
              <w:bottom w:val="nil"/>
              <w:right w:val="nil"/>
            </w:tcBorders>
          </w:tcPr>
          <w:p w14:paraId="090D09B4" w14:textId="13960680" w:rsidR="00A74996" w:rsidRPr="001D04C6" w:rsidRDefault="00A74996" w:rsidP="00642502">
            <w:pPr>
              <w:contextualSpacing/>
              <w:jc w:val="both"/>
              <w:rPr>
                <w:b/>
                <w:sz w:val="22"/>
                <w:szCs w:val="22"/>
              </w:rPr>
            </w:pPr>
            <w:r w:rsidRPr="001D04C6">
              <w:rPr>
                <w:b/>
                <w:sz w:val="22"/>
                <w:szCs w:val="22"/>
              </w:rPr>
              <w:t>32</w:t>
            </w:r>
            <w:r w:rsidR="00CC63AC">
              <w:rPr>
                <w:b/>
                <w:sz w:val="22"/>
                <w:szCs w:val="22"/>
              </w:rPr>
              <w:t>%</w:t>
            </w:r>
          </w:p>
        </w:tc>
        <w:tc>
          <w:tcPr>
            <w:tcW w:w="1719" w:type="dxa"/>
            <w:tcBorders>
              <w:top w:val="nil"/>
              <w:left w:val="nil"/>
              <w:bottom w:val="nil"/>
              <w:right w:val="nil"/>
            </w:tcBorders>
            <w:shd w:val="clear" w:color="auto" w:fill="auto"/>
          </w:tcPr>
          <w:p w14:paraId="1B45B87F" w14:textId="01F994D0" w:rsidR="00A74996" w:rsidRPr="001D04C6" w:rsidRDefault="00A74996" w:rsidP="00642502">
            <w:pPr>
              <w:contextualSpacing/>
              <w:jc w:val="both"/>
              <w:rPr>
                <w:b/>
                <w:sz w:val="22"/>
                <w:szCs w:val="22"/>
              </w:rPr>
            </w:pPr>
            <w:r w:rsidRPr="001D04C6">
              <w:rPr>
                <w:b/>
                <w:sz w:val="22"/>
                <w:szCs w:val="22"/>
              </w:rPr>
              <w:t>100</w:t>
            </w:r>
            <w:r w:rsidR="00CC63AC">
              <w:rPr>
                <w:b/>
                <w:sz w:val="22"/>
                <w:szCs w:val="22"/>
              </w:rPr>
              <w:t>%</w:t>
            </w:r>
          </w:p>
        </w:tc>
      </w:tr>
    </w:tbl>
    <w:p w14:paraId="75CA9868" w14:textId="77777777" w:rsidR="00022D95" w:rsidRDefault="003656D2" w:rsidP="00642502">
      <w:pPr>
        <w:contextualSpacing/>
        <w:jc w:val="both"/>
        <w:rPr>
          <w:b/>
          <w:sz w:val="22"/>
          <w:szCs w:val="22"/>
        </w:rPr>
      </w:pPr>
      <w:r>
        <w:rPr>
          <w:b/>
          <w:sz w:val="22"/>
          <w:szCs w:val="22"/>
        </w:rPr>
        <w:t xml:space="preserve">        </w:t>
      </w:r>
    </w:p>
    <w:p w14:paraId="499F6D92" w14:textId="286ABB2E" w:rsidR="00C23CB6" w:rsidRDefault="00022D95" w:rsidP="00EE3448">
      <w:pPr>
        <w:ind w:left="720"/>
        <w:contextualSpacing/>
        <w:jc w:val="both"/>
      </w:pPr>
      <w:r>
        <w:rPr>
          <w:b/>
          <w:sz w:val="22"/>
          <w:szCs w:val="22"/>
        </w:rPr>
        <w:t xml:space="preserve">              </w:t>
      </w:r>
      <w:r w:rsidR="00F6692E">
        <w:t>Wh</w:t>
      </w:r>
      <w:r w:rsidR="00840E14">
        <w:t xml:space="preserve">en it comes to student mobility, which is one of the significant aspects of Bologna process, the majority of the students </w:t>
      </w:r>
      <w:r w:rsidR="00EB4245">
        <w:t>claim that (more than 90 percent of respondents) they have never been abroad in any training, exchange, or internship programs.</w:t>
      </w:r>
      <w:r w:rsidR="00BA4F69">
        <w:t xml:space="preserve"> </w:t>
      </w:r>
      <w:r w:rsidR="00D75EF0">
        <w:t xml:space="preserve">It was also interesting for the researchers to </w:t>
      </w:r>
      <w:r w:rsidR="004515E5">
        <w:t xml:space="preserve">discover </w:t>
      </w:r>
      <w:r w:rsidR="00D75EF0">
        <w:t>how well Azerbaijani universities, which strive to be a part of EHEA</w:t>
      </w:r>
      <w:r w:rsidR="00391D8A">
        <w:t>,</w:t>
      </w:r>
      <w:r w:rsidR="00D75EF0">
        <w:t xml:space="preserve"> have succeeded in the of</w:t>
      </w:r>
      <w:r w:rsidR="00D650A6">
        <w:t>fering financial support to</w:t>
      </w:r>
      <w:r w:rsidR="00611DDD">
        <w:t xml:space="preserve"> the students to study abroad or start and continue their study at home</w:t>
      </w:r>
      <w:r w:rsidR="00E10A2C">
        <w:t xml:space="preserve">. As a result of the survey, </w:t>
      </w:r>
      <w:r w:rsidR="00D650A6">
        <w:t xml:space="preserve">students </w:t>
      </w:r>
      <w:r w:rsidR="00611DDD">
        <w:t xml:space="preserve">(36%) </w:t>
      </w:r>
      <w:r w:rsidR="00D650A6">
        <w:t xml:space="preserve">state that </w:t>
      </w:r>
      <w:r w:rsidR="00611DDD">
        <w:t>they do not receive any type of support to study abroad</w:t>
      </w:r>
      <w:r w:rsidR="00710D90">
        <w:t xml:space="preserve"> or they</w:t>
      </w:r>
      <w:r w:rsidR="00611DDD">
        <w:t xml:space="preserve"> (36%) simply do not have any information about any kind of financial support. </w:t>
      </w:r>
      <w:r w:rsidR="00C23CB6">
        <w:t>Regarding</w:t>
      </w:r>
      <w:r w:rsidR="00710D90">
        <w:t xml:space="preserve"> </w:t>
      </w:r>
      <w:r w:rsidR="003C29F5">
        <w:t xml:space="preserve">studying in the home country, </w:t>
      </w:r>
      <w:r w:rsidR="0085514A">
        <w:t>the most popular type</w:t>
      </w:r>
      <w:r w:rsidR="004515E5">
        <w:t>s</w:t>
      </w:r>
      <w:r w:rsidR="0085514A">
        <w:t xml:space="preserve"> of support </w:t>
      </w:r>
      <w:r w:rsidR="000C4213">
        <w:t>are</w:t>
      </w:r>
      <w:r w:rsidR="0085514A">
        <w:t xml:space="preserve"> scholarship</w:t>
      </w:r>
      <w:r w:rsidR="000C4213">
        <w:t>s</w:t>
      </w:r>
      <w:r w:rsidR="0085514A">
        <w:t xml:space="preserve"> and tuition waiver</w:t>
      </w:r>
      <w:r w:rsidR="000C4213">
        <w:t>s</w:t>
      </w:r>
      <w:r w:rsidR="0085514A">
        <w:t xml:space="preserve">. </w:t>
      </w:r>
    </w:p>
    <w:p w14:paraId="4A93659E" w14:textId="3D82DD5E" w:rsidR="00FF7326" w:rsidRDefault="00C23CB6" w:rsidP="00EE3448">
      <w:pPr>
        <w:ind w:left="720"/>
        <w:contextualSpacing/>
        <w:jc w:val="both"/>
      </w:pPr>
      <w:r>
        <w:t xml:space="preserve">         </w:t>
      </w:r>
      <w:r w:rsidR="00A772ED">
        <w:t xml:space="preserve">It is also significant to note that </w:t>
      </w:r>
      <w:r w:rsidR="003D7FD2">
        <w:t xml:space="preserve">different services provided by the HEIs can help students with further </w:t>
      </w:r>
      <w:r w:rsidR="000C4213">
        <w:t>employability</w:t>
      </w:r>
      <w:r w:rsidR="003D7FD2">
        <w:t xml:space="preserve">, mobility, and overall achievement during the years of study. Thus, </w:t>
      </w:r>
      <w:r w:rsidR="000C4213">
        <w:t xml:space="preserve">the researchers asked relevant questions </w:t>
      </w:r>
      <w:r w:rsidR="003D7FD2">
        <w:t>to see how the Azerbaijani students evaluate the existence or implementation of necessary services</w:t>
      </w:r>
      <w:r w:rsidR="00EB1195">
        <w:t xml:space="preserve">. </w:t>
      </w:r>
      <w:r w:rsidR="004515E5">
        <w:t>T</w:t>
      </w:r>
      <w:r w:rsidR="007C73E1">
        <w:t xml:space="preserve">o the question </w:t>
      </w:r>
      <w:r w:rsidR="000C4213">
        <w:t xml:space="preserve">of </w:t>
      </w:r>
      <w:r w:rsidR="007C73E1">
        <w:t xml:space="preserve">whether career guidance services, psychological consultancy, or additional foreign language courses exist in the sample universities, overall answers were “no”. The only support service that </w:t>
      </w:r>
      <w:r w:rsidR="000C4213">
        <w:t xml:space="preserve">the </w:t>
      </w:r>
      <w:r w:rsidR="007C73E1">
        <w:t xml:space="preserve">majority of students answered positively is the awareness </w:t>
      </w:r>
      <w:r w:rsidR="000C4213">
        <w:t xml:space="preserve">of </w:t>
      </w:r>
      <w:r w:rsidR="007C73E1">
        <w:t xml:space="preserve">activities about </w:t>
      </w:r>
      <w:r w:rsidR="00E53E23">
        <w:t>opportunities to study in foreign countries. The distribution of the answers among the universities is clearly shown in the table below:</w:t>
      </w:r>
    </w:p>
    <w:p w14:paraId="2C23EF45" w14:textId="77777777" w:rsidR="00310094" w:rsidRDefault="00310094" w:rsidP="00642502">
      <w:pPr>
        <w:contextualSpacing/>
        <w:jc w:val="both"/>
        <w:rPr>
          <w:b/>
        </w:rPr>
      </w:pPr>
    </w:p>
    <w:p w14:paraId="36C18153" w14:textId="77777777" w:rsidR="00B54575" w:rsidRDefault="00EE3448" w:rsidP="0024320D">
      <w:pPr>
        <w:contextualSpacing/>
        <w:jc w:val="both"/>
        <w:outlineLvl w:val="0"/>
        <w:rPr>
          <w:b/>
        </w:rPr>
      </w:pPr>
      <w:r>
        <w:rPr>
          <w:b/>
        </w:rPr>
        <w:t xml:space="preserve">            </w:t>
      </w:r>
    </w:p>
    <w:p w14:paraId="4DA2ED19" w14:textId="77777777" w:rsidR="00B54575" w:rsidRDefault="00B54575" w:rsidP="0024320D">
      <w:pPr>
        <w:contextualSpacing/>
        <w:jc w:val="both"/>
        <w:outlineLvl w:val="0"/>
        <w:rPr>
          <w:b/>
        </w:rPr>
      </w:pPr>
    </w:p>
    <w:p w14:paraId="7E6EC9E5" w14:textId="77777777" w:rsidR="00B54575" w:rsidRDefault="00B54575" w:rsidP="0024320D">
      <w:pPr>
        <w:contextualSpacing/>
        <w:jc w:val="both"/>
        <w:outlineLvl w:val="0"/>
        <w:rPr>
          <w:b/>
        </w:rPr>
      </w:pPr>
    </w:p>
    <w:p w14:paraId="7B445305" w14:textId="77777777" w:rsidR="00B54575" w:rsidRDefault="00B54575" w:rsidP="0024320D">
      <w:pPr>
        <w:contextualSpacing/>
        <w:jc w:val="both"/>
        <w:outlineLvl w:val="0"/>
        <w:rPr>
          <w:b/>
        </w:rPr>
      </w:pPr>
    </w:p>
    <w:p w14:paraId="0731D856" w14:textId="77777777" w:rsidR="00B54575" w:rsidRDefault="00B54575" w:rsidP="0024320D">
      <w:pPr>
        <w:contextualSpacing/>
        <w:jc w:val="both"/>
        <w:outlineLvl w:val="0"/>
        <w:rPr>
          <w:b/>
        </w:rPr>
      </w:pPr>
    </w:p>
    <w:p w14:paraId="1E4515EA" w14:textId="77777777" w:rsidR="00B54575" w:rsidRDefault="00B54575" w:rsidP="0024320D">
      <w:pPr>
        <w:contextualSpacing/>
        <w:jc w:val="both"/>
        <w:outlineLvl w:val="0"/>
        <w:rPr>
          <w:b/>
        </w:rPr>
      </w:pPr>
    </w:p>
    <w:p w14:paraId="5B666E19" w14:textId="77777777" w:rsidR="00B54575" w:rsidRDefault="00B54575" w:rsidP="0024320D">
      <w:pPr>
        <w:contextualSpacing/>
        <w:jc w:val="both"/>
        <w:outlineLvl w:val="0"/>
        <w:rPr>
          <w:b/>
        </w:rPr>
      </w:pPr>
    </w:p>
    <w:p w14:paraId="039AA8DA" w14:textId="77777777" w:rsidR="00B54575" w:rsidRDefault="00B54575" w:rsidP="0024320D">
      <w:pPr>
        <w:contextualSpacing/>
        <w:jc w:val="both"/>
        <w:outlineLvl w:val="0"/>
        <w:rPr>
          <w:b/>
        </w:rPr>
      </w:pPr>
    </w:p>
    <w:p w14:paraId="5F4C58A8" w14:textId="77777777" w:rsidR="00B54575" w:rsidRDefault="00B54575" w:rsidP="0024320D">
      <w:pPr>
        <w:contextualSpacing/>
        <w:jc w:val="both"/>
        <w:outlineLvl w:val="0"/>
        <w:rPr>
          <w:b/>
        </w:rPr>
      </w:pPr>
    </w:p>
    <w:p w14:paraId="0EF21E58" w14:textId="77777777" w:rsidR="00B54575" w:rsidRDefault="00B54575" w:rsidP="0024320D">
      <w:pPr>
        <w:contextualSpacing/>
        <w:jc w:val="both"/>
        <w:outlineLvl w:val="0"/>
        <w:rPr>
          <w:b/>
        </w:rPr>
      </w:pPr>
    </w:p>
    <w:p w14:paraId="7982CC5D" w14:textId="77777777" w:rsidR="00B54575" w:rsidRDefault="00B54575" w:rsidP="0024320D">
      <w:pPr>
        <w:contextualSpacing/>
        <w:jc w:val="both"/>
        <w:outlineLvl w:val="0"/>
        <w:rPr>
          <w:b/>
        </w:rPr>
      </w:pPr>
    </w:p>
    <w:p w14:paraId="29E7070B" w14:textId="77777777" w:rsidR="00B54575" w:rsidRDefault="00B54575" w:rsidP="0024320D">
      <w:pPr>
        <w:contextualSpacing/>
        <w:jc w:val="both"/>
        <w:outlineLvl w:val="0"/>
        <w:rPr>
          <w:b/>
        </w:rPr>
      </w:pPr>
    </w:p>
    <w:p w14:paraId="1F060332" w14:textId="77777777" w:rsidR="00B54575" w:rsidRDefault="00B54575" w:rsidP="0024320D">
      <w:pPr>
        <w:contextualSpacing/>
        <w:jc w:val="both"/>
        <w:outlineLvl w:val="0"/>
        <w:rPr>
          <w:b/>
        </w:rPr>
      </w:pPr>
    </w:p>
    <w:p w14:paraId="44B5529B" w14:textId="77777777" w:rsidR="00B54575" w:rsidRDefault="00B54575" w:rsidP="0024320D">
      <w:pPr>
        <w:contextualSpacing/>
        <w:jc w:val="both"/>
        <w:outlineLvl w:val="0"/>
        <w:rPr>
          <w:b/>
        </w:rPr>
      </w:pPr>
    </w:p>
    <w:p w14:paraId="5211F726" w14:textId="7B2EDC0C" w:rsidR="00EA2A2E" w:rsidRDefault="00B54575" w:rsidP="0024320D">
      <w:pPr>
        <w:contextualSpacing/>
        <w:jc w:val="both"/>
        <w:outlineLvl w:val="0"/>
        <w:rPr>
          <w:b/>
        </w:rPr>
      </w:pPr>
      <w:r>
        <w:rPr>
          <w:b/>
        </w:rPr>
        <w:t xml:space="preserve">     </w:t>
      </w:r>
      <w:r w:rsidR="00F95252">
        <w:rPr>
          <w:b/>
        </w:rPr>
        <w:t>Table 4</w:t>
      </w:r>
      <w:r w:rsidR="0012536C">
        <w:rPr>
          <w:b/>
        </w:rPr>
        <w:t xml:space="preserve">. </w:t>
      </w:r>
      <w:r w:rsidR="00F769F6" w:rsidRPr="00F769F6">
        <w:rPr>
          <w:b/>
        </w:rPr>
        <w:t xml:space="preserve">Existence of the student support services in the </w:t>
      </w:r>
      <w:r w:rsidR="00022971">
        <w:rPr>
          <w:b/>
        </w:rPr>
        <w:t xml:space="preserve">sample </w:t>
      </w:r>
      <w:r w:rsidR="00F769F6" w:rsidRPr="00F769F6">
        <w:rPr>
          <w:b/>
        </w:rPr>
        <w:t>universities</w:t>
      </w:r>
    </w:p>
    <w:tbl>
      <w:tblPr>
        <w:tblpPr w:leftFromText="180" w:rightFromText="180" w:vertAnchor="text" w:horzAnchor="page" w:tblpX="1690" w:tblpY="450"/>
        <w:tblW w:w="10310" w:type="dxa"/>
        <w:tblLook w:val="04A0" w:firstRow="1" w:lastRow="0" w:firstColumn="1" w:lastColumn="0" w:noHBand="0" w:noVBand="1"/>
      </w:tblPr>
      <w:tblGrid>
        <w:gridCol w:w="1525"/>
        <w:gridCol w:w="920"/>
        <w:gridCol w:w="1124"/>
        <w:gridCol w:w="1123"/>
        <w:gridCol w:w="1124"/>
        <w:gridCol w:w="1123"/>
        <w:gridCol w:w="1124"/>
        <w:gridCol w:w="1123"/>
        <w:gridCol w:w="1124"/>
      </w:tblGrid>
      <w:tr w:rsidR="00EE3448" w:rsidRPr="007B0033" w14:paraId="4D3D9C4D" w14:textId="77777777" w:rsidTr="00EE3448">
        <w:trPr>
          <w:trHeight w:val="227"/>
        </w:trPr>
        <w:tc>
          <w:tcPr>
            <w:tcW w:w="1525" w:type="dxa"/>
            <w:tcBorders>
              <w:top w:val="nil"/>
              <w:left w:val="nil"/>
              <w:bottom w:val="nil"/>
              <w:right w:val="nil"/>
            </w:tcBorders>
            <w:shd w:val="clear" w:color="auto" w:fill="auto"/>
            <w:noWrap/>
            <w:vAlign w:val="bottom"/>
            <w:hideMark/>
          </w:tcPr>
          <w:p w14:paraId="3F95FDDD" w14:textId="77777777" w:rsidR="00EE3448" w:rsidRPr="007B0033" w:rsidRDefault="00EE3448" w:rsidP="00EE3448">
            <w:pPr>
              <w:jc w:val="both"/>
              <w:rPr>
                <w:rFonts w:eastAsia="Times New Roman"/>
                <w:sz w:val="20"/>
                <w:szCs w:val="20"/>
              </w:rPr>
            </w:pPr>
          </w:p>
        </w:tc>
        <w:tc>
          <w:tcPr>
            <w:tcW w:w="2044" w:type="dxa"/>
            <w:gridSpan w:val="2"/>
            <w:tcBorders>
              <w:top w:val="nil"/>
              <w:left w:val="nil"/>
              <w:bottom w:val="nil"/>
              <w:right w:val="nil"/>
            </w:tcBorders>
            <w:shd w:val="clear" w:color="auto" w:fill="DEEAF6" w:themeFill="accent1" w:themeFillTint="33"/>
            <w:noWrap/>
            <w:vAlign w:val="bottom"/>
            <w:hideMark/>
          </w:tcPr>
          <w:p w14:paraId="7838DB5A" w14:textId="77777777" w:rsidR="00EE3448" w:rsidRPr="007B0033" w:rsidRDefault="00EE3448" w:rsidP="00EE3448">
            <w:pPr>
              <w:jc w:val="both"/>
              <w:rPr>
                <w:rFonts w:eastAsia="Times New Roman"/>
                <w:color w:val="000000"/>
                <w:sz w:val="20"/>
                <w:szCs w:val="20"/>
              </w:rPr>
            </w:pPr>
            <w:r w:rsidRPr="007B0033">
              <w:rPr>
                <w:b/>
                <w:sz w:val="20"/>
                <w:szCs w:val="20"/>
              </w:rPr>
              <w:t>Career Guidance Service</w:t>
            </w:r>
          </w:p>
        </w:tc>
        <w:tc>
          <w:tcPr>
            <w:tcW w:w="2247" w:type="dxa"/>
            <w:gridSpan w:val="2"/>
            <w:tcBorders>
              <w:top w:val="nil"/>
              <w:left w:val="nil"/>
              <w:bottom w:val="nil"/>
              <w:right w:val="nil"/>
            </w:tcBorders>
            <w:shd w:val="clear" w:color="auto" w:fill="DEEAF6" w:themeFill="accent1" w:themeFillTint="33"/>
            <w:noWrap/>
            <w:vAlign w:val="bottom"/>
            <w:hideMark/>
          </w:tcPr>
          <w:p w14:paraId="38440441" w14:textId="77777777" w:rsidR="00EE3448" w:rsidRPr="007B0033" w:rsidRDefault="00EE3448" w:rsidP="00EE3448">
            <w:pPr>
              <w:jc w:val="both"/>
              <w:rPr>
                <w:rFonts w:eastAsia="Times New Roman"/>
                <w:color w:val="000000"/>
                <w:sz w:val="20"/>
                <w:szCs w:val="20"/>
              </w:rPr>
            </w:pPr>
            <w:r w:rsidRPr="00EE1A30">
              <w:rPr>
                <w:b/>
                <w:sz w:val="20"/>
                <w:szCs w:val="20"/>
              </w:rPr>
              <w:t>Psychological Support</w:t>
            </w:r>
          </w:p>
        </w:tc>
        <w:tc>
          <w:tcPr>
            <w:tcW w:w="2247" w:type="dxa"/>
            <w:gridSpan w:val="2"/>
            <w:tcBorders>
              <w:top w:val="nil"/>
              <w:left w:val="nil"/>
              <w:bottom w:val="nil"/>
              <w:right w:val="nil"/>
            </w:tcBorders>
            <w:shd w:val="clear" w:color="auto" w:fill="DEEAF6" w:themeFill="accent1" w:themeFillTint="33"/>
            <w:noWrap/>
            <w:vAlign w:val="bottom"/>
            <w:hideMark/>
          </w:tcPr>
          <w:p w14:paraId="2464157F" w14:textId="77777777" w:rsidR="00EE3448" w:rsidRPr="007B0033" w:rsidRDefault="00EE3448" w:rsidP="00EE3448">
            <w:pPr>
              <w:jc w:val="both"/>
              <w:rPr>
                <w:rFonts w:eastAsia="Times New Roman"/>
                <w:color w:val="000000"/>
                <w:sz w:val="20"/>
                <w:szCs w:val="20"/>
              </w:rPr>
            </w:pPr>
            <w:r w:rsidRPr="00EE1A30">
              <w:rPr>
                <w:b/>
                <w:sz w:val="20"/>
                <w:szCs w:val="20"/>
              </w:rPr>
              <w:t>Foreign Language Courses</w:t>
            </w:r>
          </w:p>
        </w:tc>
        <w:tc>
          <w:tcPr>
            <w:tcW w:w="2247" w:type="dxa"/>
            <w:gridSpan w:val="2"/>
            <w:tcBorders>
              <w:top w:val="nil"/>
              <w:left w:val="nil"/>
              <w:bottom w:val="nil"/>
              <w:right w:val="nil"/>
            </w:tcBorders>
            <w:shd w:val="clear" w:color="auto" w:fill="DEEAF6" w:themeFill="accent1" w:themeFillTint="33"/>
            <w:noWrap/>
            <w:vAlign w:val="bottom"/>
            <w:hideMark/>
          </w:tcPr>
          <w:p w14:paraId="2E99617C" w14:textId="77777777" w:rsidR="00EE3448" w:rsidRPr="007B0033" w:rsidRDefault="00EE3448" w:rsidP="00EE3448">
            <w:pPr>
              <w:jc w:val="both"/>
              <w:rPr>
                <w:rFonts w:eastAsia="Times New Roman"/>
                <w:color w:val="000000"/>
                <w:sz w:val="20"/>
                <w:szCs w:val="20"/>
              </w:rPr>
            </w:pPr>
            <w:r w:rsidRPr="00EE1A30">
              <w:rPr>
                <w:b/>
                <w:sz w:val="20"/>
                <w:szCs w:val="20"/>
              </w:rPr>
              <w:t>Study Abroad Awareness</w:t>
            </w:r>
          </w:p>
        </w:tc>
      </w:tr>
      <w:tr w:rsidR="00EE3448" w:rsidRPr="007B0033" w14:paraId="12990F07" w14:textId="77777777" w:rsidTr="00EE3448">
        <w:trPr>
          <w:trHeight w:val="227"/>
        </w:trPr>
        <w:tc>
          <w:tcPr>
            <w:tcW w:w="1525" w:type="dxa"/>
            <w:tcBorders>
              <w:top w:val="nil"/>
              <w:left w:val="nil"/>
              <w:bottom w:val="single" w:sz="4" w:space="0" w:color="8EA9DB"/>
              <w:right w:val="nil"/>
            </w:tcBorders>
            <w:shd w:val="clear" w:color="D9E1F2" w:fill="D9E1F2"/>
            <w:noWrap/>
            <w:vAlign w:val="bottom"/>
            <w:hideMark/>
          </w:tcPr>
          <w:p w14:paraId="4FA21009" w14:textId="77777777" w:rsidR="00EE3448" w:rsidRPr="007B0033" w:rsidRDefault="00EE3448" w:rsidP="00EE3448">
            <w:pPr>
              <w:jc w:val="both"/>
              <w:rPr>
                <w:rFonts w:eastAsia="Times New Roman"/>
                <w:b/>
                <w:bCs/>
                <w:color w:val="000000"/>
                <w:sz w:val="20"/>
                <w:szCs w:val="20"/>
              </w:rPr>
            </w:pPr>
            <w:r w:rsidRPr="007B0033">
              <w:rPr>
                <w:rFonts w:eastAsia="Times New Roman"/>
                <w:b/>
                <w:bCs/>
                <w:color w:val="000000"/>
                <w:sz w:val="20"/>
                <w:szCs w:val="20"/>
              </w:rPr>
              <w:t>University</w:t>
            </w:r>
          </w:p>
        </w:tc>
        <w:tc>
          <w:tcPr>
            <w:tcW w:w="920" w:type="dxa"/>
            <w:tcBorders>
              <w:top w:val="nil"/>
              <w:left w:val="nil"/>
              <w:bottom w:val="single" w:sz="4" w:space="0" w:color="8EA9DB"/>
              <w:right w:val="nil"/>
            </w:tcBorders>
            <w:shd w:val="clear" w:color="D9E1F2" w:fill="D9E1F2"/>
            <w:noWrap/>
            <w:vAlign w:val="bottom"/>
            <w:hideMark/>
          </w:tcPr>
          <w:p w14:paraId="174E0FD9" w14:textId="77777777" w:rsidR="00EE3448" w:rsidRPr="007B0033" w:rsidRDefault="00EE3448" w:rsidP="00EE3448">
            <w:pPr>
              <w:jc w:val="both"/>
              <w:rPr>
                <w:rFonts w:eastAsia="Times New Roman"/>
                <w:b/>
                <w:bCs/>
                <w:color w:val="000000"/>
                <w:sz w:val="20"/>
                <w:szCs w:val="20"/>
              </w:rPr>
            </w:pPr>
            <w:r w:rsidRPr="007B0033">
              <w:rPr>
                <w:rFonts w:eastAsia="Times New Roman"/>
                <w:b/>
                <w:bCs/>
                <w:color w:val="000000"/>
                <w:sz w:val="20"/>
                <w:szCs w:val="20"/>
              </w:rPr>
              <w:t>No</w:t>
            </w:r>
          </w:p>
        </w:tc>
        <w:tc>
          <w:tcPr>
            <w:tcW w:w="1124" w:type="dxa"/>
            <w:tcBorders>
              <w:top w:val="nil"/>
              <w:left w:val="nil"/>
              <w:bottom w:val="single" w:sz="4" w:space="0" w:color="8EA9DB"/>
              <w:right w:val="nil"/>
            </w:tcBorders>
            <w:shd w:val="clear" w:color="D9E1F2" w:fill="D9E1F2"/>
            <w:noWrap/>
            <w:vAlign w:val="bottom"/>
            <w:hideMark/>
          </w:tcPr>
          <w:p w14:paraId="28C2C4DC" w14:textId="77777777" w:rsidR="00EE3448" w:rsidRPr="007B0033" w:rsidRDefault="00EE3448" w:rsidP="00EE3448">
            <w:pPr>
              <w:jc w:val="both"/>
              <w:rPr>
                <w:rFonts w:eastAsia="Times New Roman"/>
                <w:b/>
                <w:bCs/>
                <w:color w:val="000000"/>
                <w:sz w:val="20"/>
                <w:szCs w:val="20"/>
              </w:rPr>
            </w:pPr>
            <w:r w:rsidRPr="007B0033">
              <w:rPr>
                <w:rFonts w:eastAsia="Times New Roman"/>
                <w:b/>
                <w:bCs/>
                <w:color w:val="000000"/>
                <w:sz w:val="20"/>
                <w:szCs w:val="20"/>
              </w:rPr>
              <w:t>Yes</w:t>
            </w:r>
          </w:p>
        </w:tc>
        <w:tc>
          <w:tcPr>
            <w:tcW w:w="1123" w:type="dxa"/>
            <w:tcBorders>
              <w:top w:val="nil"/>
              <w:left w:val="nil"/>
              <w:bottom w:val="single" w:sz="4" w:space="0" w:color="8EA9DB"/>
              <w:right w:val="nil"/>
            </w:tcBorders>
            <w:shd w:val="clear" w:color="D9E1F2" w:fill="D9E1F2"/>
            <w:noWrap/>
            <w:vAlign w:val="bottom"/>
            <w:hideMark/>
          </w:tcPr>
          <w:p w14:paraId="5306FB45" w14:textId="77777777" w:rsidR="00EE3448" w:rsidRPr="007B0033" w:rsidRDefault="00EE3448" w:rsidP="00EE3448">
            <w:pPr>
              <w:jc w:val="both"/>
              <w:rPr>
                <w:rFonts w:eastAsia="Times New Roman"/>
                <w:b/>
                <w:bCs/>
                <w:color w:val="000000"/>
                <w:sz w:val="20"/>
                <w:szCs w:val="20"/>
              </w:rPr>
            </w:pPr>
            <w:r w:rsidRPr="007B0033">
              <w:rPr>
                <w:rFonts w:eastAsia="Times New Roman"/>
                <w:b/>
                <w:bCs/>
                <w:color w:val="000000"/>
                <w:sz w:val="20"/>
                <w:szCs w:val="20"/>
              </w:rPr>
              <w:t>No</w:t>
            </w:r>
          </w:p>
        </w:tc>
        <w:tc>
          <w:tcPr>
            <w:tcW w:w="1124" w:type="dxa"/>
            <w:tcBorders>
              <w:top w:val="nil"/>
              <w:left w:val="nil"/>
              <w:bottom w:val="single" w:sz="4" w:space="0" w:color="8EA9DB"/>
              <w:right w:val="nil"/>
            </w:tcBorders>
            <w:shd w:val="clear" w:color="D9E1F2" w:fill="D9E1F2"/>
            <w:noWrap/>
            <w:vAlign w:val="bottom"/>
            <w:hideMark/>
          </w:tcPr>
          <w:p w14:paraId="4DE26D9E" w14:textId="77777777" w:rsidR="00EE3448" w:rsidRPr="007B0033" w:rsidRDefault="00EE3448" w:rsidP="00EE3448">
            <w:pPr>
              <w:jc w:val="both"/>
              <w:rPr>
                <w:rFonts w:eastAsia="Times New Roman"/>
                <w:b/>
                <w:bCs/>
                <w:color w:val="000000"/>
                <w:sz w:val="20"/>
                <w:szCs w:val="20"/>
              </w:rPr>
            </w:pPr>
            <w:r w:rsidRPr="007B0033">
              <w:rPr>
                <w:rFonts w:eastAsia="Times New Roman"/>
                <w:b/>
                <w:bCs/>
                <w:color w:val="000000"/>
                <w:sz w:val="20"/>
                <w:szCs w:val="20"/>
              </w:rPr>
              <w:t>Yes</w:t>
            </w:r>
          </w:p>
        </w:tc>
        <w:tc>
          <w:tcPr>
            <w:tcW w:w="1123" w:type="dxa"/>
            <w:tcBorders>
              <w:top w:val="nil"/>
              <w:left w:val="nil"/>
              <w:bottom w:val="single" w:sz="4" w:space="0" w:color="8EA9DB"/>
              <w:right w:val="nil"/>
            </w:tcBorders>
            <w:shd w:val="clear" w:color="D9E1F2" w:fill="D9E1F2"/>
            <w:noWrap/>
            <w:vAlign w:val="bottom"/>
            <w:hideMark/>
          </w:tcPr>
          <w:p w14:paraId="0294214A" w14:textId="77777777" w:rsidR="00EE3448" w:rsidRPr="007B0033" w:rsidRDefault="00EE3448" w:rsidP="00EE3448">
            <w:pPr>
              <w:jc w:val="both"/>
              <w:rPr>
                <w:rFonts w:eastAsia="Times New Roman"/>
                <w:b/>
                <w:bCs/>
                <w:color w:val="000000"/>
                <w:sz w:val="20"/>
                <w:szCs w:val="20"/>
              </w:rPr>
            </w:pPr>
            <w:r w:rsidRPr="007B0033">
              <w:rPr>
                <w:rFonts w:eastAsia="Times New Roman"/>
                <w:b/>
                <w:bCs/>
                <w:color w:val="000000"/>
                <w:sz w:val="20"/>
                <w:szCs w:val="20"/>
              </w:rPr>
              <w:t>No</w:t>
            </w:r>
          </w:p>
        </w:tc>
        <w:tc>
          <w:tcPr>
            <w:tcW w:w="1124" w:type="dxa"/>
            <w:tcBorders>
              <w:top w:val="nil"/>
              <w:left w:val="nil"/>
              <w:bottom w:val="single" w:sz="4" w:space="0" w:color="8EA9DB"/>
              <w:right w:val="nil"/>
            </w:tcBorders>
            <w:shd w:val="clear" w:color="D9E1F2" w:fill="D9E1F2"/>
            <w:noWrap/>
            <w:vAlign w:val="bottom"/>
            <w:hideMark/>
          </w:tcPr>
          <w:p w14:paraId="07CDD406" w14:textId="77777777" w:rsidR="00EE3448" w:rsidRPr="007B0033" w:rsidRDefault="00EE3448" w:rsidP="00EE3448">
            <w:pPr>
              <w:jc w:val="both"/>
              <w:rPr>
                <w:rFonts w:eastAsia="Times New Roman"/>
                <w:b/>
                <w:bCs/>
                <w:color w:val="000000"/>
                <w:sz w:val="20"/>
                <w:szCs w:val="20"/>
              </w:rPr>
            </w:pPr>
            <w:r w:rsidRPr="007B0033">
              <w:rPr>
                <w:rFonts w:eastAsia="Times New Roman"/>
                <w:b/>
                <w:bCs/>
                <w:color w:val="000000"/>
                <w:sz w:val="20"/>
                <w:szCs w:val="20"/>
              </w:rPr>
              <w:t>Yes</w:t>
            </w:r>
          </w:p>
        </w:tc>
        <w:tc>
          <w:tcPr>
            <w:tcW w:w="1123" w:type="dxa"/>
            <w:tcBorders>
              <w:top w:val="nil"/>
              <w:left w:val="nil"/>
              <w:bottom w:val="single" w:sz="4" w:space="0" w:color="8EA9DB"/>
              <w:right w:val="nil"/>
            </w:tcBorders>
            <w:shd w:val="clear" w:color="D9E1F2" w:fill="D9E1F2"/>
            <w:noWrap/>
            <w:vAlign w:val="bottom"/>
            <w:hideMark/>
          </w:tcPr>
          <w:p w14:paraId="7E4BB03D" w14:textId="77777777" w:rsidR="00EE3448" w:rsidRPr="007B0033" w:rsidRDefault="00EE3448" w:rsidP="00EE3448">
            <w:pPr>
              <w:jc w:val="both"/>
              <w:rPr>
                <w:rFonts w:eastAsia="Times New Roman"/>
                <w:b/>
                <w:bCs/>
                <w:color w:val="000000"/>
                <w:sz w:val="20"/>
                <w:szCs w:val="20"/>
              </w:rPr>
            </w:pPr>
            <w:r w:rsidRPr="007B0033">
              <w:rPr>
                <w:rFonts w:eastAsia="Times New Roman"/>
                <w:b/>
                <w:bCs/>
                <w:color w:val="000000"/>
                <w:sz w:val="20"/>
                <w:szCs w:val="20"/>
              </w:rPr>
              <w:t>No</w:t>
            </w:r>
          </w:p>
        </w:tc>
        <w:tc>
          <w:tcPr>
            <w:tcW w:w="1124" w:type="dxa"/>
            <w:tcBorders>
              <w:top w:val="nil"/>
              <w:left w:val="nil"/>
              <w:bottom w:val="single" w:sz="4" w:space="0" w:color="8EA9DB"/>
              <w:right w:val="nil"/>
            </w:tcBorders>
            <w:shd w:val="clear" w:color="D9E1F2" w:fill="D9E1F2"/>
            <w:noWrap/>
            <w:vAlign w:val="bottom"/>
            <w:hideMark/>
          </w:tcPr>
          <w:p w14:paraId="38B4FEA0" w14:textId="77777777" w:rsidR="00EE3448" w:rsidRPr="007B0033" w:rsidRDefault="00EE3448" w:rsidP="00EE3448">
            <w:pPr>
              <w:jc w:val="both"/>
              <w:rPr>
                <w:rFonts w:eastAsia="Times New Roman"/>
                <w:b/>
                <w:bCs/>
                <w:color w:val="000000"/>
                <w:sz w:val="20"/>
                <w:szCs w:val="20"/>
              </w:rPr>
            </w:pPr>
            <w:r w:rsidRPr="007B0033">
              <w:rPr>
                <w:rFonts w:eastAsia="Times New Roman"/>
                <w:b/>
                <w:bCs/>
                <w:color w:val="000000"/>
                <w:sz w:val="20"/>
                <w:szCs w:val="20"/>
              </w:rPr>
              <w:t>Yes</w:t>
            </w:r>
          </w:p>
        </w:tc>
      </w:tr>
      <w:tr w:rsidR="00EE3448" w:rsidRPr="007B0033" w14:paraId="732B6F75" w14:textId="77777777" w:rsidTr="00EE3448">
        <w:trPr>
          <w:trHeight w:val="482"/>
        </w:trPr>
        <w:tc>
          <w:tcPr>
            <w:tcW w:w="1525" w:type="dxa"/>
            <w:tcBorders>
              <w:top w:val="nil"/>
              <w:left w:val="nil"/>
              <w:bottom w:val="nil"/>
              <w:right w:val="nil"/>
            </w:tcBorders>
            <w:shd w:val="clear" w:color="auto" w:fill="auto"/>
            <w:noWrap/>
            <w:vAlign w:val="bottom"/>
            <w:hideMark/>
          </w:tcPr>
          <w:p w14:paraId="14E23D49" w14:textId="77777777" w:rsidR="00EE3448" w:rsidRPr="007B0033" w:rsidRDefault="00EE3448" w:rsidP="00EE3448">
            <w:pPr>
              <w:jc w:val="both"/>
              <w:rPr>
                <w:rFonts w:eastAsia="Times New Roman"/>
                <w:color w:val="000000"/>
                <w:sz w:val="20"/>
                <w:szCs w:val="20"/>
              </w:rPr>
            </w:pPr>
            <w:r w:rsidRPr="007B0033">
              <w:rPr>
                <w:rFonts w:eastAsia="Times New Roman"/>
                <w:color w:val="000000"/>
                <w:sz w:val="20"/>
                <w:szCs w:val="20"/>
              </w:rPr>
              <w:t>ADA</w:t>
            </w:r>
            <w:r>
              <w:rPr>
                <w:rFonts w:eastAsia="Times New Roman"/>
                <w:color w:val="000000"/>
                <w:sz w:val="20"/>
                <w:szCs w:val="20"/>
              </w:rPr>
              <w:t xml:space="preserve"> University</w:t>
            </w:r>
          </w:p>
        </w:tc>
        <w:tc>
          <w:tcPr>
            <w:tcW w:w="920" w:type="dxa"/>
            <w:tcBorders>
              <w:top w:val="nil"/>
              <w:left w:val="nil"/>
              <w:bottom w:val="nil"/>
              <w:right w:val="nil"/>
            </w:tcBorders>
            <w:shd w:val="clear" w:color="auto" w:fill="auto"/>
            <w:noWrap/>
            <w:vAlign w:val="bottom"/>
            <w:hideMark/>
          </w:tcPr>
          <w:p w14:paraId="4655E6C5" w14:textId="77777777" w:rsidR="00EE3448" w:rsidRPr="007B0033" w:rsidRDefault="00EE3448" w:rsidP="00EE3448">
            <w:pPr>
              <w:jc w:val="both"/>
              <w:rPr>
                <w:rFonts w:eastAsia="Times New Roman"/>
                <w:color w:val="000000"/>
                <w:sz w:val="20"/>
                <w:szCs w:val="20"/>
              </w:rPr>
            </w:pPr>
            <w:r w:rsidRPr="007B0033">
              <w:rPr>
                <w:rFonts w:eastAsia="Times New Roman"/>
                <w:color w:val="000000"/>
                <w:sz w:val="20"/>
                <w:szCs w:val="20"/>
              </w:rPr>
              <w:t>1.04%</w:t>
            </w:r>
          </w:p>
        </w:tc>
        <w:tc>
          <w:tcPr>
            <w:tcW w:w="1124" w:type="dxa"/>
            <w:tcBorders>
              <w:top w:val="nil"/>
              <w:left w:val="nil"/>
              <w:bottom w:val="nil"/>
              <w:right w:val="nil"/>
            </w:tcBorders>
            <w:shd w:val="clear" w:color="auto" w:fill="auto"/>
            <w:noWrap/>
            <w:vAlign w:val="bottom"/>
            <w:hideMark/>
          </w:tcPr>
          <w:p w14:paraId="6882F7D1" w14:textId="77777777" w:rsidR="00EE3448" w:rsidRPr="007B0033" w:rsidRDefault="00EE3448" w:rsidP="00EE3448">
            <w:pPr>
              <w:jc w:val="both"/>
              <w:rPr>
                <w:rFonts w:eastAsia="Times New Roman"/>
                <w:color w:val="000000"/>
                <w:sz w:val="20"/>
                <w:szCs w:val="20"/>
              </w:rPr>
            </w:pPr>
            <w:r w:rsidRPr="007B0033">
              <w:rPr>
                <w:rFonts w:eastAsia="Times New Roman"/>
                <w:color w:val="000000"/>
                <w:sz w:val="20"/>
                <w:szCs w:val="20"/>
              </w:rPr>
              <w:t>25.83%</w:t>
            </w:r>
          </w:p>
        </w:tc>
        <w:tc>
          <w:tcPr>
            <w:tcW w:w="1123" w:type="dxa"/>
            <w:tcBorders>
              <w:top w:val="nil"/>
              <w:left w:val="nil"/>
              <w:bottom w:val="nil"/>
              <w:right w:val="nil"/>
            </w:tcBorders>
            <w:shd w:val="clear" w:color="auto" w:fill="auto"/>
            <w:noWrap/>
            <w:vAlign w:val="bottom"/>
            <w:hideMark/>
          </w:tcPr>
          <w:p w14:paraId="036A0E7B" w14:textId="77777777" w:rsidR="00EE3448" w:rsidRPr="007B0033" w:rsidRDefault="00EE3448" w:rsidP="00EE3448">
            <w:pPr>
              <w:jc w:val="both"/>
              <w:rPr>
                <w:rFonts w:eastAsia="Times New Roman"/>
                <w:color w:val="000000"/>
                <w:sz w:val="20"/>
                <w:szCs w:val="20"/>
              </w:rPr>
            </w:pPr>
            <w:r w:rsidRPr="007B0033">
              <w:rPr>
                <w:rFonts w:eastAsia="Times New Roman"/>
                <w:color w:val="000000"/>
                <w:sz w:val="20"/>
                <w:szCs w:val="20"/>
              </w:rPr>
              <w:t>23.58%</w:t>
            </w:r>
          </w:p>
        </w:tc>
        <w:tc>
          <w:tcPr>
            <w:tcW w:w="1124" w:type="dxa"/>
            <w:tcBorders>
              <w:top w:val="nil"/>
              <w:left w:val="nil"/>
              <w:bottom w:val="nil"/>
              <w:right w:val="nil"/>
            </w:tcBorders>
            <w:shd w:val="clear" w:color="auto" w:fill="auto"/>
            <w:noWrap/>
            <w:vAlign w:val="bottom"/>
            <w:hideMark/>
          </w:tcPr>
          <w:p w14:paraId="16BA3A56" w14:textId="77777777" w:rsidR="00EE3448" w:rsidRPr="007B0033" w:rsidRDefault="00EE3448" w:rsidP="00EE3448">
            <w:pPr>
              <w:jc w:val="both"/>
              <w:rPr>
                <w:rFonts w:eastAsia="Times New Roman"/>
                <w:color w:val="000000"/>
                <w:sz w:val="20"/>
                <w:szCs w:val="20"/>
              </w:rPr>
            </w:pPr>
            <w:r w:rsidRPr="007B0033">
              <w:rPr>
                <w:rFonts w:eastAsia="Times New Roman"/>
                <w:color w:val="000000"/>
                <w:sz w:val="20"/>
                <w:szCs w:val="20"/>
              </w:rPr>
              <w:t>3.29%</w:t>
            </w:r>
          </w:p>
        </w:tc>
        <w:tc>
          <w:tcPr>
            <w:tcW w:w="1123" w:type="dxa"/>
            <w:tcBorders>
              <w:top w:val="nil"/>
              <w:left w:val="nil"/>
              <w:bottom w:val="nil"/>
              <w:right w:val="nil"/>
            </w:tcBorders>
            <w:shd w:val="clear" w:color="auto" w:fill="auto"/>
            <w:noWrap/>
            <w:vAlign w:val="bottom"/>
            <w:hideMark/>
          </w:tcPr>
          <w:p w14:paraId="015CAAD2" w14:textId="77777777" w:rsidR="00EE3448" w:rsidRPr="007B0033" w:rsidRDefault="00EE3448" w:rsidP="00EE3448">
            <w:pPr>
              <w:jc w:val="both"/>
              <w:rPr>
                <w:rFonts w:eastAsia="Times New Roman"/>
                <w:color w:val="000000"/>
                <w:sz w:val="20"/>
                <w:szCs w:val="20"/>
              </w:rPr>
            </w:pPr>
            <w:r w:rsidRPr="007B0033">
              <w:rPr>
                <w:rFonts w:eastAsia="Times New Roman"/>
                <w:color w:val="000000"/>
                <w:sz w:val="20"/>
                <w:szCs w:val="20"/>
              </w:rPr>
              <w:t>4.04%</w:t>
            </w:r>
          </w:p>
        </w:tc>
        <w:tc>
          <w:tcPr>
            <w:tcW w:w="1124" w:type="dxa"/>
            <w:tcBorders>
              <w:top w:val="nil"/>
              <w:left w:val="nil"/>
              <w:bottom w:val="nil"/>
              <w:right w:val="nil"/>
            </w:tcBorders>
            <w:shd w:val="clear" w:color="auto" w:fill="auto"/>
            <w:noWrap/>
            <w:vAlign w:val="bottom"/>
            <w:hideMark/>
          </w:tcPr>
          <w:p w14:paraId="5B11E8E5" w14:textId="77777777" w:rsidR="00EE3448" w:rsidRPr="007B0033" w:rsidRDefault="00EE3448" w:rsidP="00EE3448">
            <w:pPr>
              <w:jc w:val="both"/>
              <w:rPr>
                <w:rFonts w:eastAsia="Times New Roman"/>
                <w:color w:val="000000"/>
                <w:sz w:val="20"/>
                <w:szCs w:val="20"/>
              </w:rPr>
            </w:pPr>
            <w:r w:rsidRPr="007B0033">
              <w:rPr>
                <w:rFonts w:eastAsia="Times New Roman"/>
                <w:color w:val="000000"/>
                <w:sz w:val="20"/>
                <w:szCs w:val="20"/>
              </w:rPr>
              <w:t>22.83%</w:t>
            </w:r>
          </w:p>
        </w:tc>
        <w:tc>
          <w:tcPr>
            <w:tcW w:w="1123" w:type="dxa"/>
            <w:tcBorders>
              <w:top w:val="nil"/>
              <w:left w:val="nil"/>
              <w:bottom w:val="nil"/>
              <w:right w:val="nil"/>
            </w:tcBorders>
            <w:shd w:val="clear" w:color="auto" w:fill="auto"/>
            <w:noWrap/>
            <w:vAlign w:val="bottom"/>
            <w:hideMark/>
          </w:tcPr>
          <w:p w14:paraId="59207248" w14:textId="77777777" w:rsidR="00EE3448" w:rsidRPr="007B0033" w:rsidRDefault="00EE3448" w:rsidP="00EE3448">
            <w:pPr>
              <w:jc w:val="both"/>
              <w:rPr>
                <w:rFonts w:eastAsia="Times New Roman"/>
                <w:color w:val="000000"/>
                <w:sz w:val="20"/>
                <w:szCs w:val="20"/>
              </w:rPr>
            </w:pPr>
            <w:r w:rsidRPr="007B0033">
              <w:rPr>
                <w:rFonts w:eastAsia="Times New Roman"/>
                <w:color w:val="000000"/>
                <w:sz w:val="20"/>
                <w:szCs w:val="20"/>
              </w:rPr>
              <w:t>3.42%</w:t>
            </w:r>
          </w:p>
        </w:tc>
        <w:tc>
          <w:tcPr>
            <w:tcW w:w="1124" w:type="dxa"/>
            <w:tcBorders>
              <w:top w:val="nil"/>
              <w:left w:val="nil"/>
              <w:bottom w:val="nil"/>
              <w:right w:val="nil"/>
            </w:tcBorders>
            <w:shd w:val="clear" w:color="auto" w:fill="auto"/>
            <w:noWrap/>
            <w:vAlign w:val="bottom"/>
            <w:hideMark/>
          </w:tcPr>
          <w:p w14:paraId="4CCD1856" w14:textId="77777777" w:rsidR="00EE3448" w:rsidRPr="007B0033" w:rsidRDefault="00EE3448" w:rsidP="00EE3448">
            <w:pPr>
              <w:jc w:val="both"/>
              <w:rPr>
                <w:rFonts w:eastAsia="Times New Roman"/>
                <w:color w:val="000000"/>
                <w:sz w:val="20"/>
                <w:szCs w:val="20"/>
              </w:rPr>
            </w:pPr>
            <w:r w:rsidRPr="007B0033">
              <w:rPr>
                <w:rFonts w:eastAsia="Times New Roman"/>
                <w:color w:val="000000"/>
                <w:sz w:val="20"/>
                <w:szCs w:val="20"/>
              </w:rPr>
              <w:t>23.46%</w:t>
            </w:r>
          </w:p>
        </w:tc>
      </w:tr>
      <w:tr w:rsidR="00EE3448" w:rsidRPr="007B0033" w14:paraId="7D6311C9" w14:textId="77777777" w:rsidTr="00EE3448">
        <w:trPr>
          <w:trHeight w:val="227"/>
        </w:trPr>
        <w:tc>
          <w:tcPr>
            <w:tcW w:w="1525" w:type="dxa"/>
            <w:tcBorders>
              <w:top w:val="nil"/>
              <w:left w:val="nil"/>
              <w:bottom w:val="nil"/>
              <w:right w:val="nil"/>
            </w:tcBorders>
            <w:shd w:val="clear" w:color="auto" w:fill="auto"/>
            <w:noWrap/>
            <w:vAlign w:val="bottom"/>
            <w:hideMark/>
          </w:tcPr>
          <w:p w14:paraId="645FE200" w14:textId="77777777" w:rsidR="00EE3448" w:rsidRPr="007B0033" w:rsidRDefault="00EE3448" w:rsidP="00EE3448">
            <w:pPr>
              <w:jc w:val="both"/>
              <w:rPr>
                <w:rFonts w:eastAsia="Times New Roman"/>
                <w:color w:val="000000"/>
                <w:sz w:val="20"/>
                <w:szCs w:val="20"/>
              </w:rPr>
            </w:pPr>
            <w:r>
              <w:rPr>
                <w:rFonts w:eastAsia="Times New Roman"/>
                <w:color w:val="000000"/>
                <w:sz w:val="20"/>
                <w:szCs w:val="20"/>
              </w:rPr>
              <w:t>Pedagogical University</w:t>
            </w:r>
          </w:p>
        </w:tc>
        <w:tc>
          <w:tcPr>
            <w:tcW w:w="920" w:type="dxa"/>
            <w:tcBorders>
              <w:top w:val="nil"/>
              <w:left w:val="nil"/>
              <w:bottom w:val="nil"/>
              <w:right w:val="nil"/>
            </w:tcBorders>
            <w:shd w:val="clear" w:color="auto" w:fill="auto"/>
            <w:noWrap/>
            <w:vAlign w:val="bottom"/>
            <w:hideMark/>
          </w:tcPr>
          <w:p w14:paraId="4D6DF5A3" w14:textId="77777777" w:rsidR="00EE3448" w:rsidRPr="007B0033" w:rsidRDefault="00EE3448" w:rsidP="00EE3448">
            <w:pPr>
              <w:jc w:val="both"/>
              <w:rPr>
                <w:rFonts w:eastAsia="Times New Roman"/>
                <w:color w:val="000000"/>
                <w:sz w:val="20"/>
                <w:szCs w:val="20"/>
              </w:rPr>
            </w:pPr>
            <w:r w:rsidRPr="007B0033">
              <w:rPr>
                <w:rFonts w:eastAsia="Times New Roman"/>
                <w:color w:val="000000"/>
                <w:sz w:val="20"/>
                <w:szCs w:val="20"/>
              </w:rPr>
              <w:t>16.96%</w:t>
            </w:r>
          </w:p>
        </w:tc>
        <w:tc>
          <w:tcPr>
            <w:tcW w:w="1124" w:type="dxa"/>
            <w:tcBorders>
              <w:top w:val="nil"/>
              <w:left w:val="nil"/>
              <w:bottom w:val="nil"/>
              <w:right w:val="nil"/>
            </w:tcBorders>
            <w:shd w:val="clear" w:color="auto" w:fill="auto"/>
            <w:noWrap/>
            <w:vAlign w:val="bottom"/>
            <w:hideMark/>
          </w:tcPr>
          <w:p w14:paraId="0E754DAD" w14:textId="77777777" w:rsidR="00EE3448" w:rsidRPr="007B0033" w:rsidRDefault="00EE3448" w:rsidP="00EE3448">
            <w:pPr>
              <w:jc w:val="both"/>
              <w:rPr>
                <w:rFonts w:eastAsia="Times New Roman"/>
                <w:color w:val="000000"/>
                <w:sz w:val="20"/>
                <w:szCs w:val="20"/>
              </w:rPr>
            </w:pPr>
            <w:r w:rsidRPr="007B0033">
              <w:rPr>
                <w:rFonts w:eastAsia="Times New Roman"/>
                <w:color w:val="000000"/>
                <w:sz w:val="20"/>
                <w:szCs w:val="20"/>
              </w:rPr>
              <w:t>4.13%</w:t>
            </w:r>
          </w:p>
        </w:tc>
        <w:tc>
          <w:tcPr>
            <w:tcW w:w="1123" w:type="dxa"/>
            <w:tcBorders>
              <w:top w:val="nil"/>
              <w:left w:val="nil"/>
              <w:bottom w:val="nil"/>
              <w:right w:val="nil"/>
            </w:tcBorders>
            <w:shd w:val="clear" w:color="auto" w:fill="auto"/>
            <w:noWrap/>
            <w:vAlign w:val="bottom"/>
            <w:hideMark/>
          </w:tcPr>
          <w:p w14:paraId="4531A90F" w14:textId="77777777" w:rsidR="00EE3448" w:rsidRPr="007B0033" w:rsidRDefault="00EE3448" w:rsidP="00EE3448">
            <w:pPr>
              <w:jc w:val="both"/>
              <w:rPr>
                <w:rFonts w:eastAsia="Times New Roman"/>
                <w:color w:val="000000"/>
                <w:sz w:val="20"/>
                <w:szCs w:val="20"/>
              </w:rPr>
            </w:pPr>
            <w:r w:rsidRPr="007B0033">
              <w:rPr>
                <w:rFonts w:eastAsia="Times New Roman"/>
                <w:color w:val="000000"/>
                <w:sz w:val="20"/>
                <w:szCs w:val="20"/>
              </w:rPr>
              <w:t>16.58%</w:t>
            </w:r>
          </w:p>
        </w:tc>
        <w:tc>
          <w:tcPr>
            <w:tcW w:w="1124" w:type="dxa"/>
            <w:tcBorders>
              <w:top w:val="nil"/>
              <w:left w:val="nil"/>
              <w:bottom w:val="nil"/>
              <w:right w:val="nil"/>
            </w:tcBorders>
            <w:shd w:val="clear" w:color="auto" w:fill="auto"/>
            <w:noWrap/>
            <w:vAlign w:val="bottom"/>
            <w:hideMark/>
          </w:tcPr>
          <w:p w14:paraId="1D2F7BAB" w14:textId="77777777" w:rsidR="00EE3448" w:rsidRPr="007B0033" w:rsidRDefault="00EE3448" w:rsidP="00EE3448">
            <w:pPr>
              <w:jc w:val="both"/>
              <w:rPr>
                <w:rFonts w:eastAsia="Times New Roman"/>
                <w:color w:val="000000"/>
                <w:sz w:val="20"/>
                <w:szCs w:val="20"/>
              </w:rPr>
            </w:pPr>
            <w:r w:rsidRPr="007B0033">
              <w:rPr>
                <w:rFonts w:eastAsia="Times New Roman"/>
                <w:color w:val="000000"/>
                <w:sz w:val="20"/>
                <w:szCs w:val="20"/>
              </w:rPr>
              <w:t>4.50%</w:t>
            </w:r>
          </w:p>
        </w:tc>
        <w:tc>
          <w:tcPr>
            <w:tcW w:w="1123" w:type="dxa"/>
            <w:tcBorders>
              <w:top w:val="nil"/>
              <w:left w:val="nil"/>
              <w:bottom w:val="nil"/>
              <w:right w:val="nil"/>
            </w:tcBorders>
            <w:shd w:val="clear" w:color="auto" w:fill="auto"/>
            <w:noWrap/>
            <w:vAlign w:val="bottom"/>
            <w:hideMark/>
          </w:tcPr>
          <w:p w14:paraId="41A81315" w14:textId="77777777" w:rsidR="00EE3448" w:rsidRPr="007B0033" w:rsidRDefault="00EE3448" w:rsidP="00EE3448">
            <w:pPr>
              <w:jc w:val="both"/>
              <w:rPr>
                <w:rFonts w:eastAsia="Times New Roman"/>
                <w:color w:val="000000"/>
                <w:sz w:val="20"/>
                <w:szCs w:val="20"/>
              </w:rPr>
            </w:pPr>
            <w:r w:rsidRPr="007B0033">
              <w:rPr>
                <w:rFonts w:eastAsia="Times New Roman"/>
                <w:color w:val="000000"/>
                <w:sz w:val="20"/>
                <w:szCs w:val="20"/>
              </w:rPr>
              <w:t>13.79%</w:t>
            </w:r>
          </w:p>
        </w:tc>
        <w:tc>
          <w:tcPr>
            <w:tcW w:w="1124" w:type="dxa"/>
            <w:tcBorders>
              <w:top w:val="nil"/>
              <w:left w:val="nil"/>
              <w:bottom w:val="nil"/>
              <w:right w:val="nil"/>
            </w:tcBorders>
            <w:shd w:val="clear" w:color="auto" w:fill="auto"/>
            <w:noWrap/>
            <w:vAlign w:val="bottom"/>
            <w:hideMark/>
          </w:tcPr>
          <w:p w14:paraId="67F0DCCD" w14:textId="77777777" w:rsidR="00EE3448" w:rsidRPr="007B0033" w:rsidRDefault="00EE3448" w:rsidP="00EE3448">
            <w:pPr>
              <w:jc w:val="both"/>
              <w:rPr>
                <w:rFonts w:eastAsia="Times New Roman"/>
                <w:color w:val="000000"/>
                <w:sz w:val="20"/>
                <w:szCs w:val="20"/>
              </w:rPr>
            </w:pPr>
            <w:r w:rsidRPr="007B0033">
              <w:rPr>
                <w:rFonts w:eastAsia="Times New Roman"/>
                <w:color w:val="000000"/>
                <w:sz w:val="20"/>
                <w:szCs w:val="20"/>
              </w:rPr>
              <w:t>7.29%</w:t>
            </w:r>
          </w:p>
        </w:tc>
        <w:tc>
          <w:tcPr>
            <w:tcW w:w="1123" w:type="dxa"/>
            <w:tcBorders>
              <w:top w:val="nil"/>
              <w:left w:val="nil"/>
              <w:bottom w:val="nil"/>
              <w:right w:val="nil"/>
            </w:tcBorders>
            <w:shd w:val="clear" w:color="auto" w:fill="auto"/>
            <w:noWrap/>
            <w:vAlign w:val="bottom"/>
            <w:hideMark/>
          </w:tcPr>
          <w:p w14:paraId="1E538BF3" w14:textId="77777777" w:rsidR="00EE3448" w:rsidRPr="007B0033" w:rsidRDefault="00EE3448" w:rsidP="00EE3448">
            <w:pPr>
              <w:jc w:val="both"/>
              <w:rPr>
                <w:rFonts w:eastAsia="Times New Roman"/>
                <w:color w:val="000000"/>
                <w:sz w:val="20"/>
                <w:szCs w:val="20"/>
              </w:rPr>
            </w:pPr>
            <w:r w:rsidRPr="007B0033">
              <w:rPr>
                <w:rFonts w:eastAsia="Times New Roman"/>
                <w:color w:val="000000"/>
                <w:sz w:val="20"/>
                <w:szCs w:val="20"/>
              </w:rPr>
              <w:t>13.04%</w:t>
            </w:r>
          </w:p>
        </w:tc>
        <w:tc>
          <w:tcPr>
            <w:tcW w:w="1124" w:type="dxa"/>
            <w:tcBorders>
              <w:top w:val="nil"/>
              <w:left w:val="nil"/>
              <w:bottom w:val="nil"/>
              <w:right w:val="nil"/>
            </w:tcBorders>
            <w:shd w:val="clear" w:color="auto" w:fill="auto"/>
            <w:noWrap/>
            <w:vAlign w:val="bottom"/>
            <w:hideMark/>
          </w:tcPr>
          <w:p w14:paraId="062CBD33" w14:textId="77777777" w:rsidR="00EE3448" w:rsidRPr="007B0033" w:rsidRDefault="00EE3448" w:rsidP="00EE3448">
            <w:pPr>
              <w:jc w:val="both"/>
              <w:rPr>
                <w:rFonts w:eastAsia="Times New Roman"/>
                <w:color w:val="000000"/>
                <w:sz w:val="20"/>
                <w:szCs w:val="20"/>
              </w:rPr>
            </w:pPr>
            <w:r w:rsidRPr="007B0033">
              <w:rPr>
                <w:rFonts w:eastAsia="Times New Roman"/>
                <w:color w:val="000000"/>
                <w:sz w:val="20"/>
                <w:szCs w:val="20"/>
              </w:rPr>
              <w:t>8.04%</w:t>
            </w:r>
          </w:p>
        </w:tc>
      </w:tr>
      <w:tr w:rsidR="00EE3448" w:rsidRPr="007B0033" w14:paraId="03050E51" w14:textId="77777777" w:rsidTr="00EE3448">
        <w:trPr>
          <w:trHeight w:val="227"/>
        </w:trPr>
        <w:tc>
          <w:tcPr>
            <w:tcW w:w="1525" w:type="dxa"/>
            <w:tcBorders>
              <w:top w:val="nil"/>
              <w:left w:val="nil"/>
              <w:bottom w:val="nil"/>
              <w:right w:val="nil"/>
            </w:tcBorders>
            <w:shd w:val="clear" w:color="auto" w:fill="auto"/>
            <w:noWrap/>
            <w:vAlign w:val="bottom"/>
            <w:hideMark/>
          </w:tcPr>
          <w:p w14:paraId="5CAE3811" w14:textId="77777777" w:rsidR="00EE3448" w:rsidRPr="007B0033" w:rsidRDefault="00EE3448" w:rsidP="00EE3448">
            <w:pPr>
              <w:jc w:val="both"/>
              <w:rPr>
                <w:rFonts w:eastAsia="Times New Roman"/>
                <w:color w:val="000000"/>
                <w:sz w:val="20"/>
                <w:szCs w:val="20"/>
              </w:rPr>
            </w:pPr>
            <w:r>
              <w:rPr>
                <w:rFonts w:eastAsia="Times New Roman"/>
                <w:color w:val="000000"/>
                <w:sz w:val="20"/>
                <w:szCs w:val="20"/>
              </w:rPr>
              <w:t>University of Languages</w:t>
            </w:r>
          </w:p>
        </w:tc>
        <w:tc>
          <w:tcPr>
            <w:tcW w:w="920" w:type="dxa"/>
            <w:tcBorders>
              <w:top w:val="nil"/>
              <w:left w:val="nil"/>
              <w:bottom w:val="nil"/>
              <w:right w:val="nil"/>
            </w:tcBorders>
            <w:shd w:val="clear" w:color="auto" w:fill="auto"/>
            <w:noWrap/>
            <w:vAlign w:val="bottom"/>
            <w:hideMark/>
          </w:tcPr>
          <w:p w14:paraId="22A9BB52" w14:textId="77777777" w:rsidR="00EE3448" w:rsidRPr="007B0033" w:rsidRDefault="00EE3448" w:rsidP="00EE3448">
            <w:pPr>
              <w:jc w:val="both"/>
              <w:rPr>
                <w:rFonts w:eastAsia="Times New Roman"/>
                <w:color w:val="000000"/>
                <w:sz w:val="20"/>
                <w:szCs w:val="20"/>
              </w:rPr>
            </w:pPr>
            <w:r w:rsidRPr="007B0033">
              <w:rPr>
                <w:rFonts w:eastAsia="Times New Roman"/>
                <w:color w:val="000000"/>
                <w:sz w:val="20"/>
                <w:szCs w:val="20"/>
              </w:rPr>
              <w:t>14.29%</w:t>
            </w:r>
          </w:p>
        </w:tc>
        <w:tc>
          <w:tcPr>
            <w:tcW w:w="1124" w:type="dxa"/>
            <w:tcBorders>
              <w:top w:val="nil"/>
              <w:left w:val="nil"/>
              <w:bottom w:val="nil"/>
              <w:right w:val="nil"/>
            </w:tcBorders>
            <w:shd w:val="clear" w:color="auto" w:fill="auto"/>
            <w:noWrap/>
            <w:vAlign w:val="bottom"/>
            <w:hideMark/>
          </w:tcPr>
          <w:p w14:paraId="6483F5C7" w14:textId="77777777" w:rsidR="00EE3448" w:rsidRPr="007B0033" w:rsidRDefault="00EE3448" w:rsidP="00EE3448">
            <w:pPr>
              <w:jc w:val="both"/>
              <w:rPr>
                <w:rFonts w:eastAsia="Times New Roman"/>
                <w:color w:val="000000"/>
                <w:sz w:val="20"/>
                <w:szCs w:val="20"/>
              </w:rPr>
            </w:pPr>
            <w:r w:rsidRPr="007B0033">
              <w:rPr>
                <w:rFonts w:eastAsia="Times New Roman"/>
                <w:color w:val="000000"/>
                <w:sz w:val="20"/>
                <w:szCs w:val="20"/>
              </w:rPr>
              <w:t>1.17%</w:t>
            </w:r>
          </w:p>
        </w:tc>
        <w:tc>
          <w:tcPr>
            <w:tcW w:w="1123" w:type="dxa"/>
            <w:tcBorders>
              <w:top w:val="nil"/>
              <w:left w:val="nil"/>
              <w:bottom w:val="nil"/>
              <w:right w:val="nil"/>
            </w:tcBorders>
            <w:shd w:val="clear" w:color="auto" w:fill="auto"/>
            <w:noWrap/>
            <w:vAlign w:val="bottom"/>
            <w:hideMark/>
          </w:tcPr>
          <w:p w14:paraId="3578CDF4" w14:textId="77777777" w:rsidR="00EE3448" w:rsidRPr="007B0033" w:rsidRDefault="00EE3448" w:rsidP="00EE3448">
            <w:pPr>
              <w:jc w:val="both"/>
              <w:rPr>
                <w:rFonts w:eastAsia="Times New Roman"/>
                <w:color w:val="000000"/>
                <w:sz w:val="20"/>
                <w:szCs w:val="20"/>
              </w:rPr>
            </w:pPr>
            <w:r w:rsidRPr="007B0033">
              <w:rPr>
                <w:rFonts w:eastAsia="Times New Roman"/>
                <w:color w:val="000000"/>
                <w:sz w:val="20"/>
                <w:szCs w:val="20"/>
              </w:rPr>
              <w:t>12.50%</w:t>
            </w:r>
          </w:p>
        </w:tc>
        <w:tc>
          <w:tcPr>
            <w:tcW w:w="1124" w:type="dxa"/>
            <w:tcBorders>
              <w:top w:val="nil"/>
              <w:left w:val="nil"/>
              <w:bottom w:val="nil"/>
              <w:right w:val="nil"/>
            </w:tcBorders>
            <w:shd w:val="clear" w:color="auto" w:fill="auto"/>
            <w:noWrap/>
            <w:vAlign w:val="bottom"/>
            <w:hideMark/>
          </w:tcPr>
          <w:p w14:paraId="7681CA60" w14:textId="77777777" w:rsidR="00EE3448" w:rsidRPr="007B0033" w:rsidRDefault="00EE3448" w:rsidP="00EE3448">
            <w:pPr>
              <w:jc w:val="both"/>
              <w:rPr>
                <w:rFonts w:eastAsia="Times New Roman"/>
                <w:color w:val="000000"/>
                <w:sz w:val="20"/>
                <w:szCs w:val="20"/>
              </w:rPr>
            </w:pPr>
            <w:r w:rsidRPr="007B0033">
              <w:rPr>
                <w:rFonts w:eastAsia="Times New Roman"/>
                <w:color w:val="000000"/>
                <w:sz w:val="20"/>
                <w:szCs w:val="20"/>
              </w:rPr>
              <w:t>2.96%</w:t>
            </w:r>
          </w:p>
        </w:tc>
        <w:tc>
          <w:tcPr>
            <w:tcW w:w="1123" w:type="dxa"/>
            <w:tcBorders>
              <w:top w:val="nil"/>
              <w:left w:val="nil"/>
              <w:bottom w:val="nil"/>
              <w:right w:val="nil"/>
            </w:tcBorders>
            <w:shd w:val="clear" w:color="auto" w:fill="auto"/>
            <w:noWrap/>
            <w:vAlign w:val="bottom"/>
            <w:hideMark/>
          </w:tcPr>
          <w:p w14:paraId="6C3DC2AD" w14:textId="77777777" w:rsidR="00EE3448" w:rsidRPr="007B0033" w:rsidRDefault="00EE3448" w:rsidP="00EE3448">
            <w:pPr>
              <w:jc w:val="both"/>
              <w:rPr>
                <w:rFonts w:eastAsia="Times New Roman"/>
                <w:color w:val="000000"/>
                <w:sz w:val="20"/>
                <w:szCs w:val="20"/>
              </w:rPr>
            </w:pPr>
            <w:r w:rsidRPr="007B0033">
              <w:rPr>
                <w:rFonts w:eastAsia="Times New Roman"/>
                <w:color w:val="000000"/>
                <w:sz w:val="20"/>
                <w:szCs w:val="20"/>
              </w:rPr>
              <w:t>6.96%</w:t>
            </w:r>
          </w:p>
        </w:tc>
        <w:tc>
          <w:tcPr>
            <w:tcW w:w="1124" w:type="dxa"/>
            <w:tcBorders>
              <w:top w:val="nil"/>
              <w:left w:val="nil"/>
              <w:bottom w:val="nil"/>
              <w:right w:val="nil"/>
            </w:tcBorders>
            <w:shd w:val="clear" w:color="auto" w:fill="auto"/>
            <w:noWrap/>
            <w:vAlign w:val="bottom"/>
            <w:hideMark/>
          </w:tcPr>
          <w:p w14:paraId="18626627" w14:textId="77777777" w:rsidR="00EE3448" w:rsidRPr="007B0033" w:rsidRDefault="00EE3448" w:rsidP="00EE3448">
            <w:pPr>
              <w:jc w:val="both"/>
              <w:rPr>
                <w:rFonts w:eastAsia="Times New Roman"/>
                <w:color w:val="000000"/>
                <w:sz w:val="20"/>
                <w:szCs w:val="20"/>
              </w:rPr>
            </w:pPr>
            <w:r w:rsidRPr="007B0033">
              <w:rPr>
                <w:rFonts w:eastAsia="Times New Roman"/>
                <w:color w:val="000000"/>
                <w:sz w:val="20"/>
                <w:szCs w:val="20"/>
              </w:rPr>
              <w:t>8.50%</w:t>
            </w:r>
          </w:p>
        </w:tc>
        <w:tc>
          <w:tcPr>
            <w:tcW w:w="1123" w:type="dxa"/>
            <w:tcBorders>
              <w:top w:val="nil"/>
              <w:left w:val="nil"/>
              <w:bottom w:val="nil"/>
              <w:right w:val="nil"/>
            </w:tcBorders>
            <w:shd w:val="clear" w:color="auto" w:fill="auto"/>
            <w:noWrap/>
            <w:vAlign w:val="bottom"/>
            <w:hideMark/>
          </w:tcPr>
          <w:p w14:paraId="11F5B106" w14:textId="77777777" w:rsidR="00EE3448" w:rsidRPr="007B0033" w:rsidRDefault="00EE3448" w:rsidP="00EE3448">
            <w:pPr>
              <w:jc w:val="both"/>
              <w:rPr>
                <w:rFonts w:eastAsia="Times New Roman"/>
                <w:color w:val="000000"/>
                <w:sz w:val="20"/>
                <w:szCs w:val="20"/>
              </w:rPr>
            </w:pPr>
            <w:r w:rsidRPr="007B0033">
              <w:rPr>
                <w:rFonts w:eastAsia="Times New Roman"/>
                <w:color w:val="000000"/>
                <w:sz w:val="20"/>
                <w:szCs w:val="20"/>
              </w:rPr>
              <w:t>6.21%</w:t>
            </w:r>
          </w:p>
        </w:tc>
        <w:tc>
          <w:tcPr>
            <w:tcW w:w="1124" w:type="dxa"/>
            <w:tcBorders>
              <w:top w:val="nil"/>
              <w:left w:val="nil"/>
              <w:bottom w:val="nil"/>
              <w:right w:val="nil"/>
            </w:tcBorders>
            <w:shd w:val="clear" w:color="auto" w:fill="auto"/>
            <w:noWrap/>
            <w:vAlign w:val="bottom"/>
            <w:hideMark/>
          </w:tcPr>
          <w:p w14:paraId="1994F844" w14:textId="77777777" w:rsidR="00EE3448" w:rsidRPr="007B0033" w:rsidRDefault="00EE3448" w:rsidP="00EE3448">
            <w:pPr>
              <w:jc w:val="both"/>
              <w:rPr>
                <w:rFonts w:eastAsia="Times New Roman"/>
                <w:color w:val="000000"/>
                <w:sz w:val="20"/>
                <w:szCs w:val="20"/>
              </w:rPr>
            </w:pPr>
            <w:r w:rsidRPr="007B0033">
              <w:rPr>
                <w:rFonts w:eastAsia="Times New Roman"/>
                <w:color w:val="000000"/>
                <w:sz w:val="20"/>
                <w:szCs w:val="20"/>
              </w:rPr>
              <w:t>9.25%</w:t>
            </w:r>
          </w:p>
        </w:tc>
      </w:tr>
      <w:tr w:rsidR="00EE3448" w:rsidRPr="007B0033" w14:paraId="72FE3057" w14:textId="77777777" w:rsidTr="00EE3448">
        <w:trPr>
          <w:trHeight w:val="246"/>
        </w:trPr>
        <w:tc>
          <w:tcPr>
            <w:tcW w:w="1525" w:type="dxa"/>
            <w:tcBorders>
              <w:top w:val="nil"/>
              <w:left w:val="nil"/>
              <w:bottom w:val="nil"/>
              <w:right w:val="nil"/>
            </w:tcBorders>
            <w:shd w:val="clear" w:color="auto" w:fill="auto"/>
            <w:noWrap/>
            <w:vAlign w:val="bottom"/>
            <w:hideMark/>
          </w:tcPr>
          <w:p w14:paraId="7402E315" w14:textId="77777777" w:rsidR="00EE3448" w:rsidRPr="007B0033" w:rsidRDefault="00EE3448" w:rsidP="00EE3448">
            <w:pPr>
              <w:jc w:val="both"/>
              <w:rPr>
                <w:rFonts w:eastAsia="Times New Roman"/>
                <w:color w:val="000000"/>
                <w:sz w:val="20"/>
                <w:szCs w:val="20"/>
              </w:rPr>
            </w:pPr>
            <w:r>
              <w:rPr>
                <w:rFonts w:eastAsia="Times New Roman"/>
                <w:color w:val="000000"/>
                <w:sz w:val="20"/>
                <w:szCs w:val="20"/>
              </w:rPr>
              <w:t>Technical University</w:t>
            </w:r>
          </w:p>
        </w:tc>
        <w:tc>
          <w:tcPr>
            <w:tcW w:w="920" w:type="dxa"/>
            <w:tcBorders>
              <w:top w:val="nil"/>
              <w:left w:val="nil"/>
              <w:bottom w:val="nil"/>
              <w:right w:val="nil"/>
            </w:tcBorders>
            <w:shd w:val="clear" w:color="auto" w:fill="auto"/>
            <w:noWrap/>
            <w:vAlign w:val="bottom"/>
            <w:hideMark/>
          </w:tcPr>
          <w:p w14:paraId="2DCE9C89" w14:textId="77777777" w:rsidR="00EE3448" w:rsidRPr="007B0033" w:rsidRDefault="00EE3448" w:rsidP="00EE3448">
            <w:pPr>
              <w:jc w:val="both"/>
              <w:rPr>
                <w:rFonts w:eastAsia="Times New Roman"/>
                <w:color w:val="000000"/>
                <w:sz w:val="20"/>
                <w:szCs w:val="20"/>
              </w:rPr>
            </w:pPr>
            <w:r w:rsidRPr="007B0033">
              <w:rPr>
                <w:rFonts w:eastAsia="Times New Roman"/>
                <w:color w:val="000000"/>
                <w:sz w:val="20"/>
                <w:szCs w:val="20"/>
              </w:rPr>
              <w:t>4.88%</w:t>
            </w:r>
          </w:p>
        </w:tc>
        <w:tc>
          <w:tcPr>
            <w:tcW w:w="1124" w:type="dxa"/>
            <w:tcBorders>
              <w:top w:val="nil"/>
              <w:left w:val="nil"/>
              <w:bottom w:val="nil"/>
              <w:right w:val="nil"/>
            </w:tcBorders>
            <w:shd w:val="clear" w:color="auto" w:fill="auto"/>
            <w:noWrap/>
            <w:vAlign w:val="bottom"/>
            <w:hideMark/>
          </w:tcPr>
          <w:p w14:paraId="6A580092" w14:textId="77777777" w:rsidR="00EE3448" w:rsidRPr="007B0033" w:rsidRDefault="00EE3448" w:rsidP="00EE3448">
            <w:pPr>
              <w:jc w:val="both"/>
              <w:rPr>
                <w:rFonts w:eastAsia="Times New Roman"/>
                <w:color w:val="000000"/>
                <w:sz w:val="20"/>
                <w:szCs w:val="20"/>
              </w:rPr>
            </w:pPr>
            <w:r w:rsidRPr="007B0033">
              <w:rPr>
                <w:rFonts w:eastAsia="Times New Roman"/>
                <w:color w:val="000000"/>
                <w:sz w:val="20"/>
                <w:szCs w:val="20"/>
              </w:rPr>
              <w:t>0.96%</w:t>
            </w:r>
          </w:p>
        </w:tc>
        <w:tc>
          <w:tcPr>
            <w:tcW w:w="1123" w:type="dxa"/>
            <w:tcBorders>
              <w:top w:val="nil"/>
              <w:left w:val="nil"/>
              <w:bottom w:val="nil"/>
              <w:right w:val="nil"/>
            </w:tcBorders>
            <w:shd w:val="clear" w:color="auto" w:fill="auto"/>
            <w:noWrap/>
            <w:vAlign w:val="bottom"/>
            <w:hideMark/>
          </w:tcPr>
          <w:p w14:paraId="4D1AC1D9" w14:textId="77777777" w:rsidR="00EE3448" w:rsidRPr="007B0033" w:rsidRDefault="00EE3448" w:rsidP="00EE3448">
            <w:pPr>
              <w:jc w:val="both"/>
              <w:rPr>
                <w:rFonts w:eastAsia="Times New Roman"/>
                <w:color w:val="000000"/>
                <w:sz w:val="20"/>
                <w:szCs w:val="20"/>
              </w:rPr>
            </w:pPr>
            <w:r w:rsidRPr="007B0033">
              <w:rPr>
                <w:rFonts w:eastAsia="Times New Roman"/>
                <w:color w:val="000000"/>
                <w:sz w:val="20"/>
                <w:szCs w:val="20"/>
              </w:rPr>
              <w:t>5.71%</w:t>
            </w:r>
          </w:p>
        </w:tc>
        <w:tc>
          <w:tcPr>
            <w:tcW w:w="1124" w:type="dxa"/>
            <w:tcBorders>
              <w:top w:val="nil"/>
              <w:left w:val="nil"/>
              <w:bottom w:val="nil"/>
              <w:right w:val="nil"/>
            </w:tcBorders>
            <w:shd w:val="clear" w:color="auto" w:fill="auto"/>
            <w:noWrap/>
            <w:vAlign w:val="bottom"/>
            <w:hideMark/>
          </w:tcPr>
          <w:p w14:paraId="168B6F63" w14:textId="77777777" w:rsidR="00EE3448" w:rsidRPr="007B0033" w:rsidRDefault="00EE3448" w:rsidP="00EE3448">
            <w:pPr>
              <w:jc w:val="both"/>
              <w:rPr>
                <w:rFonts w:eastAsia="Times New Roman"/>
                <w:color w:val="000000"/>
                <w:sz w:val="20"/>
                <w:szCs w:val="20"/>
              </w:rPr>
            </w:pPr>
            <w:r w:rsidRPr="007B0033">
              <w:rPr>
                <w:rFonts w:eastAsia="Times New Roman"/>
                <w:color w:val="000000"/>
                <w:sz w:val="20"/>
                <w:szCs w:val="20"/>
              </w:rPr>
              <w:t>0.13%</w:t>
            </w:r>
          </w:p>
        </w:tc>
        <w:tc>
          <w:tcPr>
            <w:tcW w:w="1123" w:type="dxa"/>
            <w:tcBorders>
              <w:top w:val="nil"/>
              <w:left w:val="nil"/>
              <w:bottom w:val="nil"/>
              <w:right w:val="nil"/>
            </w:tcBorders>
            <w:shd w:val="clear" w:color="auto" w:fill="auto"/>
            <w:noWrap/>
            <w:vAlign w:val="bottom"/>
            <w:hideMark/>
          </w:tcPr>
          <w:p w14:paraId="7E3CDC5D" w14:textId="77777777" w:rsidR="00EE3448" w:rsidRPr="007B0033" w:rsidRDefault="00EE3448" w:rsidP="00EE3448">
            <w:pPr>
              <w:jc w:val="both"/>
              <w:rPr>
                <w:rFonts w:eastAsia="Times New Roman"/>
                <w:color w:val="000000"/>
                <w:sz w:val="20"/>
                <w:szCs w:val="20"/>
              </w:rPr>
            </w:pPr>
            <w:r w:rsidRPr="007B0033">
              <w:rPr>
                <w:rFonts w:eastAsia="Times New Roman"/>
                <w:color w:val="000000"/>
                <w:sz w:val="20"/>
                <w:szCs w:val="20"/>
              </w:rPr>
              <w:t>5.13%</w:t>
            </w:r>
          </w:p>
        </w:tc>
        <w:tc>
          <w:tcPr>
            <w:tcW w:w="1124" w:type="dxa"/>
            <w:tcBorders>
              <w:top w:val="nil"/>
              <w:left w:val="nil"/>
              <w:bottom w:val="nil"/>
              <w:right w:val="nil"/>
            </w:tcBorders>
            <w:shd w:val="clear" w:color="auto" w:fill="auto"/>
            <w:noWrap/>
            <w:vAlign w:val="bottom"/>
            <w:hideMark/>
          </w:tcPr>
          <w:p w14:paraId="7FDECCD9" w14:textId="77777777" w:rsidR="00EE3448" w:rsidRPr="007B0033" w:rsidRDefault="00EE3448" w:rsidP="00EE3448">
            <w:pPr>
              <w:jc w:val="both"/>
              <w:rPr>
                <w:rFonts w:eastAsia="Times New Roman"/>
                <w:color w:val="000000"/>
                <w:sz w:val="20"/>
                <w:szCs w:val="20"/>
              </w:rPr>
            </w:pPr>
            <w:r w:rsidRPr="007B0033">
              <w:rPr>
                <w:rFonts w:eastAsia="Times New Roman"/>
                <w:color w:val="000000"/>
                <w:sz w:val="20"/>
                <w:szCs w:val="20"/>
              </w:rPr>
              <w:t>0.71%</w:t>
            </w:r>
          </w:p>
        </w:tc>
        <w:tc>
          <w:tcPr>
            <w:tcW w:w="1123" w:type="dxa"/>
            <w:tcBorders>
              <w:top w:val="nil"/>
              <w:left w:val="nil"/>
              <w:bottom w:val="nil"/>
              <w:right w:val="nil"/>
            </w:tcBorders>
            <w:shd w:val="clear" w:color="auto" w:fill="auto"/>
            <w:noWrap/>
            <w:vAlign w:val="bottom"/>
            <w:hideMark/>
          </w:tcPr>
          <w:p w14:paraId="2165A4C8" w14:textId="77777777" w:rsidR="00EE3448" w:rsidRPr="007B0033" w:rsidRDefault="00EE3448" w:rsidP="00EE3448">
            <w:pPr>
              <w:jc w:val="both"/>
              <w:rPr>
                <w:rFonts w:eastAsia="Times New Roman"/>
                <w:color w:val="000000"/>
                <w:sz w:val="20"/>
                <w:szCs w:val="20"/>
              </w:rPr>
            </w:pPr>
            <w:r w:rsidRPr="007B0033">
              <w:rPr>
                <w:rFonts w:eastAsia="Times New Roman"/>
                <w:color w:val="000000"/>
                <w:sz w:val="20"/>
                <w:szCs w:val="20"/>
              </w:rPr>
              <w:t>4.42%</w:t>
            </w:r>
          </w:p>
        </w:tc>
        <w:tc>
          <w:tcPr>
            <w:tcW w:w="1124" w:type="dxa"/>
            <w:tcBorders>
              <w:top w:val="nil"/>
              <w:left w:val="nil"/>
              <w:bottom w:val="nil"/>
              <w:right w:val="nil"/>
            </w:tcBorders>
            <w:shd w:val="clear" w:color="auto" w:fill="auto"/>
            <w:noWrap/>
            <w:vAlign w:val="bottom"/>
            <w:hideMark/>
          </w:tcPr>
          <w:p w14:paraId="536F618D" w14:textId="77777777" w:rsidR="00EE3448" w:rsidRPr="007B0033" w:rsidRDefault="00EE3448" w:rsidP="00EE3448">
            <w:pPr>
              <w:jc w:val="both"/>
              <w:rPr>
                <w:rFonts w:eastAsia="Times New Roman"/>
                <w:color w:val="000000"/>
                <w:sz w:val="20"/>
                <w:szCs w:val="20"/>
              </w:rPr>
            </w:pPr>
            <w:r w:rsidRPr="007B0033">
              <w:rPr>
                <w:rFonts w:eastAsia="Times New Roman"/>
                <w:color w:val="000000"/>
                <w:sz w:val="20"/>
                <w:szCs w:val="20"/>
              </w:rPr>
              <w:t>1.42%</w:t>
            </w:r>
          </w:p>
        </w:tc>
      </w:tr>
      <w:tr w:rsidR="00EE3448" w:rsidRPr="007B0033" w14:paraId="62538F90" w14:textId="77777777" w:rsidTr="00EE3448">
        <w:trPr>
          <w:trHeight w:val="227"/>
        </w:trPr>
        <w:tc>
          <w:tcPr>
            <w:tcW w:w="1525" w:type="dxa"/>
            <w:tcBorders>
              <w:top w:val="nil"/>
              <w:left w:val="nil"/>
              <w:bottom w:val="nil"/>
              <w:right w:val="nil"/>
            </w:tcBorders>
            <w:shd w:val="clear" w:color="auto" w:fill="auto"/>
            <w:noWrap/>
            <w:vAlign w:val="bottom"/>
            <w:hideMark/>
          </w:tcPr>
          <w:p w14:paraId="1C917CCF" w14:textId="77777777" w:rsidR="00EE3448" w:rsidRPr="007B0033" w:rsidRDefault="00EE3448" w:rsidP="00EE3448">
            <w:pPr>
              <w:jc w:val="both"/>
              <w:rPr>
                <w:rFonts w:eastAsia="Times New Roman"/>
                <w:color w:val="000000"/>
                <w:sz w:val="20"/>
                <w:szCs w:val="20"/>
              </w:rPr>
            </w:pPr>
            <w:r w:rsidRPr="007B0033">
              <w:rPr>
                <w:rFonts w:eastAsia="Times New Roman"/>
                <w:color w:val="000000"/>
                <w:sz w:val="20"/>
                <w:szCs w:val="20"/>
              </w:rPr>
              <w:t>B</w:t>
            </w:r>
            <w:r>
              <w:rPr>
                <w:rFonts w:eastAsia="Times New Roman"/>
                <w:color w:val="000000"/>
                <w:sz w:val="20"/>
                <w:szCs w:val="20"/>
              </w:rPr>
              <w:t>aku State University</w:t>
            </w:r>
          </w:p>
        </w:tc>
        <w:tc>
          <w:tcPr>
            <w:tcW w:w="920" w:type="dxa"/>
            <w:tcBorders>
              <w:top w:val="nil"/>
              <w:left w:val="nil"/>
              <w:bottom w:val="nil"/>
              <w:right w:val="nil"/>
            </w:tcBorders>
            <w:shd w:val="clear" w:color="auto" w:fill="auto"/>
            <w:noWrap/>
            <w:vAlign w:val="bottom"/>
            <w:hideMark/>
          </w:tcPr>
          <w:p w14:paraId="146DC6C7" w14:textId="77777777" w:rsidR="00EE3448" w:rsidRPr="007B0033" w:rsidRDefault="00EE3448" w:rsidP="00EE3448">
            <w:pPr>
              <w:jc w:val="both"/>
              <w:rPr>
                <w:rFonts w:eastAsia="Times New Roman"/>
                <w:color w:val="000000"/>
                <w:sz w:val="20"/>
                <w:szCs w:val="20"/>
              </w:rPr>
            </w:pPr>
            <w:r w:rsidRPr="007B0033">
              <w:rPr>
                <w:rFonts w:eastAsia="Times New Roman"/>
                <w:color w:val="000000"/>
                <w:sz w:val="20"/>
                <w:szCs w:val="20"/>
              </w:rPr>
              <w:t>6.17%</w:t>
            </w:r>
          </w:p>
        </w:tc>
        <w:tc>
          <w:tcPr>
            <w:tcW w:w="1124" w:type="dxa"/>
            <w:tcBorders>
              <w:top w:val="nil"/>
              <w:left w:val="nil"/>
              <w:bottom w:val="nil"/>
              <w:right w:val="nil"/>
            </w:tcBorders>
            <w:shd w:val="clear" w:color="auto" w:fill="auto"/>
            <w:noWrap/>
            <w:vAlign w:val="bottom"/>
            <w:hideMark/>
          </w:tcPr>
          <w:p w14:paraId="526F6EE6" w14:textId="77777777" w:rsidR="00EE3448" w:rsidRPr="007B0033" w:rsidRDefault="00EE3448" w:rsidP="00EE3448">
            <w:pPr>
              <w:jc w:val="both"/>
              <w:rPr>
                <w:rFonts w:eastAsia="Times New Roman"/>
                <w:color w:val="000000"/>
                <w:sz w:val="20"/>
                <w:szCs w:val="20"/>
              </w:rPr>
            </w:pPr>
            <w:r w:rsidRPr="007B0033">
              <w:rPr>
                <w:rFonts w:eastAsia="Times New Roman"/>
                <w:color w:val="000000"/>
                <w:sz w:val="20"/>
                <w:szCs w:val="20"/>
              </w:rPr>
              <w:t>0.38%</w:t>
            </w:r>
          </w:p>
        </w:tc>
        <w:tc>
          <w:tcPr>
            <w:tcW w:w="1123" w:type="dxa"/>
            <w:tcBorders>
              <w:top w:val="nil"/>
              <w:left w:val="nil"/>
              <w:bottom w:val="nil"/>
              <w:right w:val="nil"/>
            </w:tcBorders>
            <w:shd w:val="clear" w:color="auto" w:fill="auto"/>
            <w:noWrap/>
            <w:vAlign w:val="bottom"/>
            <w:hideMark/>
          </w:tcPr>
          <w:p w14:paraId="17FE46A6" w14:textId="77777777" w:rsidR="00EE3448" w:rsidRPr="007B0033" w:rsidRDefault="00EE3448" w:rsidP="00EE3448">
            <w:pPr>
              <w:jc w:val="both"/>
              <w:rPr>
                <w:rFonts w:eastAsia="Times New Roman"/>
                <w:color w:val="000000"/>
                <w:sz w:val="20"/>
                <w:szCs w:val="20"/>
              </w:rPr>
            </w:pPr>
            <w:r w:rsidRPr="007B0033">
              <w:rPr>
                <w:rFonts w:eastAsia="Times New Roman"/>
                <w:color w:val="000000"/>
                <w:sz w:val="20"/>
                <w:szCs w:val="20"/>
              </w:rPr>
              <w:t>5.88%</w:t>
            </w:r>
          </w:p>
        </w:tc>
        <w:tc>
          <w:tcPr>
            <w:tcW w:w="1124" w:type="dxa"/>
            <w:tcBorders>
              <w:top w:val="nil"/>
              <w:left w:val="nil"/>
              <w:bottom w:val="nil"/>
              <w:right w:val="nil"/>
            </w:tcBorders>
            <w:shd w:val="clear" w:color="auto" w:fill="auto"/>
            <w:noWrap/>
            <w:vAlign w:val="bottom"/>
            <w:hideMark/>
          </w:tcPr>
          <w:p w14:paraId="10E900A9" w14:textId="77777777" w:rsidR="00EE3448" w:rsidRPr="007B0033" w:rsidRDefault="00EE3448" w:rsidP="00EE3448">
            <w:pPr>
              <w:jc w:val="both"/>
              <w:rPr>
                <w:rFonts w:eastAsia="Times New Roman"/>
                <w:color w:val="000000"/>
                <w:sz w:val="20"/>
                <w:szCs w:val="20"/>
              </w:rPr>
            </w:pPr>
            <w:r w:rsidRPr="007B0033">
              <w:rPr>
                <w:rFonts w:eastAsia="Times New Roman"/>
                <w:color w:val="000000"/>
                <w:sz w:val="20"/>
                <w:szCs w:val="20"/>
              </w:rPr>
              <w:t>0.67%</w:t>
            </w:r>
          </w:p>
        </w:tc>
        <w:tc>
          <w:tcPr>
            <w:tcW w:w="1123" w:type="dxa"/>
            <w:tcBorders>
              <w:top w:val="nil"/>
              <w:left w:val="nil"/>
              <w:bottom w:val="nil"/>
              <w:right w:val="nil"/>
            </w:tcBorders>
            <w:shd w:val="clear" w:color="auto" w:fill="auto"/>
            <w:noWrap/>
            <w:vAlign w:val="bottom"/>
            <w:hideMark/>
          </w:tcPr>
          <w:p w14:paraId="55CB0944" w14:textId="77777777" w:rsidR="00EE3448" w:rsidRPr="007B0033" w:rsidRDefault="00EE3448" w:rsidP="00EE3448">
            <w:pPr>
              <w:jc w:val="both"/>
              <w:rPr>
                <w:rFonts w:eastAsia="Times New Roman"/>
                <w:color w:val="000000"/>
                <w:sz w:val="20"/>
                <w:szCs w:val="20"/>
              </w:rPr>
            </w:pPr>
            <w:r w:rsidRPr="007B0033">
              <w:rPr>
                <w:rFonts w:eastAsia="Times New Roman"/>
                <w:color w:val="000000"/>
                <w:sz w:val="20"/>
                <w:szCs w:val="20"/>
              </w:rPr>
              <w:t>5.00%</w:t>
            </w:r>
          </w:p>
        </w:tc>
        <w:tc>
          <w:tcPr>
            <w:tcW w:w="1124" w:type="dxa"/>
            <w:tcBorders>
              <w:top w:val="nil"/>
              <w:left w:val="nil"/>
              <w:bottom w:val="nil"/>
              <w:right w:val="nil"/>
            </w:tcBorders>
            <w:shd w:val="clear" w:color="auto" w:fill="auto"/>
            <w:noWrap/>
            <w:vAlign w:val="bottom"/>
            <w:hideMark/>
          </w:tcPr>
          <w:p w14:paraId="692F668B" w14:textId="77777777" w:rsidR="00EE3448" w:rsidRPr="007B0033" w:rsidRDefault="00EE3448" w:rsidP="00EE3448">
            <w:pPr>
              <w:jc w:val="both"/>
              <w:rPr>
                <w:rFonts w:eastAsia="Times New Roman"/>
                <w:color w:val="000000"/>
                <w:sz w:val="20"/>
                <w:szCs w:val="20"/>
              </w:rPr>
            </w:pPr>
            <w:r w:rsidRPr="007B0033">
              <w:rPr>
                <w:rFonts w:eastAsia="Times New Roman"/>
                <w:color w:val="000000"/>
                <w:sz w:val="20"/>
                <w:szCs w:val="20"/>
              </w:rPr>
              <w:t>1.54%</w:t>
            </w:r>
          </w:p>
        </w:tc>
        <w:tc>
          <w:tcPr>
            <w:tcW w:w="1123" w:type="dxa"/>
            <w:tcBorders>
              <w:top w:val="nil"/>
              <w:left w:val="nil"/>
              <w:bottom w:val="nil"/>
              <w:right w:val="nil"/>
            </w:tcBorders>
            <w:shd w:val="clear" w:color="auto" w:fill="auto"/>
            <w:noWrap/>
            <w:vAlign w:val="bottom"/>
            <w:hideMark/>
          </w:tcPr>
          <w:p w14:paraId="5A7DD177" w14:textId="77777777" w:rsidR="00EE3448" w:rsidRPr="007B0033" w:rsidRDefault="00EE3448" w:rsidP="00EE3448">
            <w:pPr>
              <w:jc w:val="both"/>
              <w:rPr>
                <w:rFonts w:eastAsia="Times New Roman"/>
                <w:color w:val="000000"/>
                <w:sz w:val="20"/>
                <w:szCs w:val="20"/>
              </w:rPr>
            </w:pPr>
            <w:r w:rsidRPr="007B0033">
              <w:rPr>
                <w:rFonts w:eastAsia="Times New Roman"/>
                <w:color w:val="000000"/>
                <w:sz w:val="20"/>
                <w:szCs w:val="20"/>
              </w:rPr>
              <w:t>5.54%</w:t>
            </w:r>
          </w:p>
        </w:tc>
        <w:tc>
          <w:tcPr>
            <w:tcW w:w="1124" w:type="dxa"/>
            <w:tcBorders>
              <w:top w:val="nil"/>
              <w:left w:val="nil"/>
              <w:bottom w:val="nil"/>
              <w:right w:val="nil"/>
            </w:tcBorders>
            <w:shd w:val="clear" w:color="auto" w:fill="auto"/>
            <w:noWrap/>
            <w:vAlign w:val="bottom"/>
            <w:hideMark/>
          </w:tcPr>
          <w:p w14:paraId="27D99C72" w14:textId="77777777" w:rsidR="00EE3448" w:rsidRPr="007B0033" w:rsidRDefault="00EE3448" w:rsidP="00EE3448">
            <w:pPr>
              <w:jc w:val="both"/>
              <w:rPr>
                <w:rFonts w:eastAsia="Times New Roman"/>
                <w:color w:val="000000"/>
                <w:sz w:val="20"/>
                <w:szCs w:val="20"/>
              </w:rPr>
            </w:pPr>
            <w:r w:rsidRPr="007B0033">
              <w:rPr>
                <w:rFonts w:eastAsia="Times New Roman"/>
                <w:color w:val="000000"/>
                <w:sz w:val="20"/>
                <w:szCs w:val="20"/>
              </w:rPr>
              <w:t>1.00%</w:t>
            </w:r>
          </w:p>
        </w:tc>
      </w:tr>
      <w:tr w:rsidR="00EE3448" w:rsidRPr="007B0033" w14:paraId="4F9A6E8A" w14:textId="77777777" w:rsidTr="00EE3448">
        <w:trPr>
          <w:trHeight w:val="227"/>
        </w:trPr>
        <w:tc>
          <w:tcPr>
            <w:tcW w:w="1525" w:type="dxa"/>
            <w:tcBorders>
              <w:top w:val="nil"/>
              <w:left w:val="nil"/>
              <w:bottom w:val="nil"/>
              <w:right w:val="nil"/>
            </w:tcBorders>
            <w:shd w:val="clear" w:color="auto" w:fill="auto"/>
            <w:noWrap/>
            <w:vAlign w:val="bottom"/>
            <w:hideMark/>
          </w:tcPr>
          <w:p w14:paraId="3AB77276" w14:textId="77777777" w:rsidR="00EE3448" w:rsidRPr="007B0033" w:rsidRDefault="00EE3448" w:rsidP="00EE3448">
            <w:pPr>
              <w:jc w:val="both"/>
              <w:rPr>
                <w:rFonts w:eastAsia="Times New Roman"/>
                <w:color w:val="000000"/>
                <w:sz w:val="20"/>
                <w:szCs w:val="20"/>
              </w:rPr>
            </w:pPr>
            <w:r w:rsidRPr="007B0033">
              <w:rPr>
                <w:rFonts w:eastAsia="Times New Roman"/>
                <w:color w:val="000000"/>
                <w:sz w:val="20"/>
                <w:szCs w:val="20"/>
              </w:rPr>
              <w:t>U</w:t>
            </w:r>
            <w:r>
              <w:rPr>
                <w:rFonts w:eastAsia="Times New Roman"/>
                <w:color w:val="000000"/>
                <w:sz w:val="20"/>
                <w:szCs w:val="20"/>
              </w:rPr>
              <w:t>niversity of Economics</w:t>
            </w:r>
          </w:p>
        </w:tc>
        <w:tc>
          <w:tcPr>
            <w:tcW w:w="920" w:type="dxa"/>
            <w:tcBorders>
              <w:top w:val="nil"/>
              <w:left w:val="nil"/>
              <w:bottom w:val="nil"/>
              <w:right w:val="nil"/>
            </w:tcBorders>
            <w:shd w:val="clear" w:color="auto" w:fill="auto"/>
            <w:noWrap/>
            <w:vAlign w:val="bottom"/>
            <w:hideMark/>
          </w:tcPr>
          <w:p w14:paraId="2AAEE8F8" w14:textId="77777777" w:rsidR="00EE3448" w:rsidRPr="007B0033" w:rsidRDefault="00EE3448" w:rsidP="00EE3448">
            <w:pPr>
              <w:jc w:val="both"/>
              <w:rPr>
                <w:rFonts w:eastAsia="Times New Roman"/>
                <w:color w:val="000000"/>
                <w:sz w:val="20"/>
                <w:szCs w:val="20"/>
              </w:rPr>
            </w:pPr>
            <w:r w:rsidRPr="007B0033">
              <w:rPr>
                <w:rFonts w:eastAsia="Times New Roman"/>
                <w:color w:val="000000"/>
                <w:sz w:val="20"/>
                <w:szCs w:val="20"/>
              </w:rPr>
              <w:t>14.75%</w:t>
            </w:r>
          </w:p>
        </w:tc>
        <w:tc>
          <w:tcPr>
            <w:tcW w:w="1124" w:type="dxa"/>
            <w:tcBorders>
              <w:top w:val="nil"/>
              <w:left w:val="nil"/>
              <w:bottom w:val="nil"/>
              <w:right w:val="nil"/>
            </w:tcBorders>
            <w:shd w:val="clear" w:color="auto" w:fill="auto"/>
            <w:noWrap/>
            <w:vAlign w:val="bottom"/>
            <w:hideMark/>
          </w:tcPr>
          <w:p w14:paraId="132C2C3E" w14:textId="77777777" w:rsidR="00EE3448" w:rsidRPr="007B0033" w:rsidRDefault="00EE3448" w:rsidP="00EE3448">
            <w:pPr>
              <w:jc w:val="both"/>
              <w:rPr>
                <w:rFonts w:eastAsia="Times New Roman"/>
                <w:color w:val="000000"/>
                <w:sz w:val="20"/>
                <w:szCs w:val="20"/>
              </w:rPr>
            </w:pPr>
            <w:r w:rsidRPr="007B0033">
              <w:rPr>
                <w:rFonts w:eastAsia="Times New Roman"/>
                <w:color w:val="000000"/>
                <w:sz w:val="20"/>
                <w:szCs w:val="20"/>
              </w:rPr>
              <w:t>9.46%</w:t>
            </w:r>
          </w:p>
        </w:tc>
        <w:tc>
          <w:tcPr>
            <w:tcW w:w="1123" w:type="dxa"/>
            <w:tcBorders>
              <w:top w:val="nil"/>
              <w:left w:val="nil"/>
              <w:bottom w:val="nil"/>
              <w:right w:val="nil"/>
            </w:tcBorders>
            <w:shd w:val="clear" w:color="auto" w:fill="auto"/>
            <w:noWrap/>
            <w:vAlign w:val="bottom"/>
            <w:hideMark/>
          </w:tcPr>
          <w:p w14:paraId="20A9F834" w14:textId="77777777" w:rsidR="00EE3448" w:rsidRPr="007B0033" w:rsidRDefault="00EE3448" w:rsidP="00EE3448">
            <w:pPr>
              <w:jc w:val="both"/>
              <w:rPr>
                <w:rFonts w:eastAsia="Times New Roman"/>
                <w:color w:val="000000"/>
                <w:sz w:val="20"/>
                <w:szCs w:val="20"/>
              </w:rPr>
            </w:pPr>
            <w:r w:rsidRPr="007B0033">
              <w:rPr>
                <w:rFonts w:eastAsia="Times New Roman"/>
                <w:color w:val="000000"/>
                <w:sz w:val="20"/>
                <w:szCs w:val="20"/>
              </w:rPr>
              <w:t>20.96%</w:t>
            </w:r>
          </w:p>
        </w:tc>
        <w:tc>
          <w:tcPr>
            <w:tcW w:w="1124" w:type="dxa"/>
            <w:tcBorders>
              <w:top w:val="nil"/>
              <w:left w:val="nil"/>
              <w:bottom w:val="nil"/>
              <w:right w:val="nil"/>
            </w:tcBorders>
            <w:shd w:val="clear" w:color="auto" w:fill="auto"/>
            <w:noWrap/>
            <w:vAlign w:val="bottom"/>
            <w:hideMark/>
          </w:tcPr>
          <w:p w14:paraId="33A3A6C7" w14:textId="77777777" w:rsidR="00EE3448" w:rsidRPr="007B0033" w:rsidRDefault="00EE3448" w:rsidP="00EE3448">
            <w:pPr>
              <w:jc w:val="both"/>
              <w:rPr>
                <w:rFonts w:eastAsia="Times New Roman"/>
                <w:color w:val="000000"/>
                <w:sz w:val="20"/>
                <w:szCs w:val="20"/>
              </w:rPr>
            </w:pPr>
            <w:r w:rsidRPr="007B0033">
              <w:rPr>
                <w:rFonts w:eastAsia="Times New Roman"/>
                <w:color w:val="000000"/>
                <w:sz w:val="20"/>
                <w:szCs w:val="20"/>
              </w:rPr>
              <w:t>3.25%</w:t>
            </w:r>
          </w:p>
        </w:tc>
        <w:tc>
          <w:tcPr>
            <w:tcW w:w="1123" w:type="dxa"/>
            <w:tcBorders>
              <w:top w:val="nil"/>
              <w:left w:val="nil"/>
              <w:bottom w:val="nil"/>
              <w:right w:val="nil"/>
            </w:tcBorders>
            <w:shd w:val="clear" w:color="auto" w:fill="auto"/>
            <w:noWrap/>
            <w:vAlign w:val="bottom"/>
            <w:hideMark/>
          </w:tcPr>
          <w:p w14:paraId="2841E980" w14:textId="77777777" w:rsidR="00EE3448" w:rsidRPr="007B0033" w:rsidRDefault="00EE3448" w:rsidP="00EE3448">
            <w:pPr>
              <w:jc w:val="both"/>
              <w:rPr>
                <w:rFonts w:eastAsia="Times New Roman"/>
                <w:color w:val="000000"/>
                <w:sz w:val="20"/>
                <w:szCs w:val="20"/>
              </w:rPr>
            </w:pPr>
            <w:r w:rsidRPr="007B0033">
              <w:rPr>
                <w:rFonts w:eastAsia="Times New Roman"/>
                <w:color w:val="000000"/>
                <w:sz w:val="20"/>
                <w:szCs w:val="20"/>
              </w:rPr>
              <w:t>19.67%</w:t>
            </w:r>
          </w:p>
        </w:tc>
        <w:tc>
          <w:tcPr>
            <w:tcW w:w="1124" w:type="dxa"/>
            <w:tcBorders>
              <w:top w:val="nil"/>
              <w:left w:val="nil"/>
              <w:bottom w:val="nil"/>
              <w:right w:val="nil"/>
            </w:tcBorders>
            <w:shd w:val="clear" w:color="auto" w:fill="auto"/>
            <w:noWrap/>
            <w:vAlign w:val="bottom"/>
            <w:hideMark/>
          </w:tcPr>
          <w:p w14:paraId="03A798BD" w14:textId="77777777" w:rsidR="00EE3448" w:rsidRPr="007B0033" w:rsidRDefault="00EE3448" w:rsidP="00EE3448">
            <w:pPr>
              <w:jc w:val="both"/>
              <w:rPr>
                <w:rFonts w:eastAsia="Times New Roman"/>
                <w:color w:val="000000"/>
                <w:sz w:val="20"/>
                <w:szCs w:val="20"/>
              </w:rPr>
            </w:pPr>
            <w:r w:rsidRPr="007B0033">
              <w:rPr>
                <w:rFonts w:eastAsia="Times New Roman"/>
                <w:color w:val="000000"/>
                <w:sz w:val="20"/>
                <w:szCs w:val="20"/>
              </w:rPr>
              <w:t>4.54%</w:t>
            </w:r>
          </w:p>
        </w:tc>
        <w:tc>
          <w:tcPr>
            <w:tcW w:w="1123" w:type="dxa"/>
            <w:tcBorders>
              <w:top w:val="nil"/>
              <w:left w:val="nil"/>
              <w:bottom w:val="nil"/>
              <w:right w:val="nil"/>
            </w:tcBorders>
            <w:shd w:val="clear" w:color="auto" w:fill="auto"/>
            <w:noWrap/>
            <w:vAlign w:val="bottom"/>
            <w:hideMark/>
          </w:tcPr>
          <w:p w14:paraId="4F9B37D7" w14:textId="77777777" w:rsidR="00EE3448" w:rsidRPr="007B0033" w:rsidRDefault="00EE3448" w:rsidP="00EE3448">
            <w:pPr>
              <w:jc w:val="both"/>
              <w:rPr>
                <w:rFonts w:eastAsia="Times New Roman"/>
                <w:color w:val="000000"/>
                <w:sz w:val="20"/>
                <w:szCs w:val="20"/>
              </w:rPr>
            </w:pPr>
            <w:r w:rsidRPr="007B0033">
              <w:rPr>
                <w:rFonts w:eastAsia="Times New Roman"/>
                <w:color w:val="000000"/>
                <w:sz w:val="20"/>
                <w:szCs w:val="20"/>
              </w:rPr>
              <w:t>11.79%</w:t>
            </w:r>
          </w:p>
        </w:tc>
        <w:tc>
          <w:tcPr>
            <w:tcW w:w="1124" w:type="dxa"/>
            <w:tcBorders>
              <w:top w:val="nil"/>
              <w:left w:val="nil"/>
              <w:bottom w:val="nil"/>
              <w:right w:val="nil"/>
            </w:tcBorders>
            <w:shd w:val="clear" w:color="auto" w:fill="auto"/>
            <w:noWrap/>
            <w:vAlign w:val="bottom"/>
            <w:hideMark/>
          </w:tcPr>
          <w:p w14:paraId="10BA2141" w14:textId="77777777" w:rsidR="00EE3448" w:rsidRPr="007B0033" w:rsidRDefault="00EE3448" w:rsidP="00EE3448">
            <w:pPr>
              <w:jc w:val="both"/>
              <w:rPr>
                <w:rFonts w:eastAsia="Times New Roman"/>
                <w:color w:val="000000"/>
                <w:sz w:val="20"/>
                <w:szCs w:val="20"/>
              </w:rPr>
            </w:pPr>
            <w:r w:rsidRPr="007B0033">
              <w:rPr>
                <w:rFonts w:eastAsia="Times New Roman"/>
                <w:color w:val="000000"/>
                <w:sz w:val="20"/>
                <w:szCs w:val="20"/>
              </w:rPr>
              <w:t>12.42%</w:t>
            </w:r>
          </w:p>
        </w:tc>
      </w:tr>
      <w:tr w:rsidR="00EE3448" w:rsidRPr="007B0033" w14:paraId="2F32900B" w14:textId="77777777" w:rsidTr="00EE3448">
        <w:trPr>
          <w:trHeight w:val="227"/>
        </w:trPr>
        <w:tc>
          <w:tcPr>
            <w:tcW w:w="1525" w:type="dxa"/>
            <w:tcBorders>
              <w:top w:val="single" w:sz="4" w:space="0" w:color="8EA9DB"/>
              <w:left w:val="nil"/>
              <w:bottom w:val="nil"/>
              <w:right w:val="nil"/>
            </w:tcBorders>
            <w:shd w:val="clear" w:color="D9E1F2" w:fill="D9E1F2"/>
            <w:noWrap/>
            <w:vAlign w:val="bottom"/>
            <w:hideMark/>
          </w:tcPr>
          <w:p w14:paraId="728F7940" w14:textId="77777777" w:rsidR="00EE3448" w:rsidRPr="007B0033" w:rsidRDefault="00EE3448" w:rsidP="00EE3448">
            <w:pPr>
              <w:jc w:val="both"/>
              <w:rPr>
                <w:rFonts w:eastAsia="Times New Roman"/>
                <w:b/>
                <w:bCs/>
                <w:color w:val="000000"/>
                <w:sz w:val="20"/>
                <w:szCs w:val="20"/>
              </w:rPr>
            </w:pPr>
            <w:r w:rsidRPr="007B0033">
              <w:rPr>
                <w:rFonts w:eastAsia="Times New Roman"/>
                <w:b/>
                <w:bCs/>
                <w:color w:val="000000"/>
                <w:sz w:val="20"/>
                <w:szCs w:val="20"/>
              </w:rPr>
              <w:t>Grand Total</w:t>
            </w:r>
          </w:p>
        </w:tc>
        <w:tc>
          <w:tcPr>
            <w:tcW w:w="920" w:type="dxa"/>
            <w:tcBorders>
              <w:top w:val="single" w:sz="4" w:space="0" w:color="8EA9DB"/>
              <w:left w:val="nil"/>
              <w:bottom w:val="nil"/>
              <w:right w:val="nil"/>
            </w:tcBorders>
            <w:shd w:val="clear" w:color="D9E1F2" w:fill="D9E1F2"/>
            <w:noWrap/>
            <w:vAlign w:val="bottom"/>
            <w:hideMark/>
          </w:tcPr>
          <w:p w14:paraId="052B7348" w14:textId="77777777" w:rsidR="00EE3448" w:rsidRPr="007B0033" w:rsidRDefault="00EE3448" w:rsidP="00EE3448">
            <w:pPr>
              <w:jc w:val="both"/>
              <w:rPr>
                <w:rFonts w:eastAsia="Times New Roman"/>
                <w:b/>
                <w:bCs/>
                <w:color w:val="000000"/>
                <w:sz w:val="20"/>
                <w:szCs w:val="20"/>
              </w:rPr>
            </w:pPr>
            <w:r w:rsidRPr="007B0033">
              <w:rPr>
                <w:rFonts w:eastAsia="Times New Roman"/>
                <w:b/>
                <w:bCs/>
                <w:color w:val="000000"/>
                <w:sz w:val="20"/>
                <w:szCs w:val="20"/>
              </w:rPr>
              <w:t>58.08%</w:t>
            </w:r>
          </w:p>
        </w:tc>
        <w:tc>
          <w:tcPr>
            <w:tcW w:w="1124" w:type="dxa"/>
            <w:tcBorders>
              <w:top w:val="single" w:sz="4" w:space="0" w:color="8EA9DB"/>
              <w:left w:val="nil"/>
              <w:bottom w:val="nil"/>
              <w:right w:val="nil"/>
            </w:tcBorders>
            <w:shd w:val="clear" w:color="D9E1F2" w:fill="D9E1F2"/>
            <w:noWrap/>
            <w:vAlign w:val="bottom"/>
            <w:hideMark/>
          </w:tcPr>
          <w:p w14:paraId="6EF23B57" w14:textId="77777777" w:rsidR="00EE3448" w:rsidRPr="007B0033" w:rsidRDefault="00EE3448" w:rsidP="00EE3448">
            <w:pPr>
              <w:jc w:val="both"/>
              <w:rPr>
                <w:rFonts w:eastAsia="Times New Roman"/>
                <w:b/>
                <w:bCs/>
                <w:color w:val="000000"/>
                <w:sz w:val="20"/>
                <w:szCs w:val="20"/>
              </w:rPr>
            </w:pPr>
            <w:r w:rsidRPr="007B0033">
              <w:rPr>
                <w:rFonts w:eastAsia="Times New Roman"/>
                <w:b/>
                <w:bCs/>
                <w:color w:val="000000"/>
                <w:sz w:val="20"/>
                <w:szCs w:val="20"/>
              </w:rPr>
              <w:t>41.92%</w:t>
            </w:r>
          </w:p>
        </w:tc>
        <w:tc>
          <w:tcPr>
            <w:tcW w:w="1123" w:type="dxa"/>
            <w:tcBorders>
              <w:top w:val="single" w:sz="4" w:space="0" w:color="8EA9DB"/>
              <w:left w:val="nil"/>
              <w:bottom w:val="nil"/>
              <w:right w:val="nil"/>
            </w:tcBorders>
            <w:shd w:val="clear" w:color="D9E1F2" w:fill="D9E1F2"/>
            <w:noWrap/>
            <w:vAlign w:val="bottom"/>
            <w:hideMark/>
          </w:tcPr>
          <w:p w14:paraId="5DDB5C8F" w14:textId="77777777" w:rsidR="00EE3448" w:rsidRPr="007B0033" w:rsidRDefault="00EE3448" w:rsidP="00EE3448">
            <w:pPr>
              <w:jc w:val="both"/>
              <w:rPr>
                <w:rFonts w:eastAsia="Times New Roman"/>
                <w:b/>
                <w:bCs/>
                <w:color w:val="000000"/>
                <w:sz w:val="20"/>
                <w:szCs w:val="20"/>
              </w:rPr>
            </w:pPr>
            <w:r w:rsidRPr="007B0033">
              <w:rPr>
                <w:rFonts w:eastAsia="Times New Roman"/>
                <w:b/>
                <w:bCs/>
                <w:color w:val="000000"/>
                <w:sz w:val="20"/>
                <w:szCs w:val="20"/>
              </w:rPr>
              <w:t>85.21%</w:t>
            </w:r>
          </w:p>
        </w:tc>
        <w:tc>
          <w:tcPr>
            <w:tcW w:w="1124" w:type="dxa"/>
            <w:tcBorders>
              <w:top w:val="single" w:sz="4" w:space="0" w:color="8EA9DB"/>
              <w:left w:val="nil"/>
              <w:bottom w:val="nil"/>
              <w:right w:val="nil"/>
            </w:tcBorders>
            <w:shd w:val="clear" w:color="D9E1F2" w:fill="D9E1F2"/>
            <w:noWrap/>
            <w:vAlign w:val="bottom"/>
            <w:hideMark/>
          </w:tcPr>
          <w:p w14:paraId="437ABFC7" w14:textId="77777777" w:rsidR="00EE3448" w:rsidRPr="007B0033" w:rsidRDefault="00EE3448" w:rsidP="00EE3448">
            <w:pPr>
              <w:jc w:val="both"/>
              <w:rPr>
                <w:rFonts w:eastAsia="Times New Roman"/>
                <w:b/>
                <w:bCs/>
                <w:color w:val="000000"/>
                <w:sz w:val="20"/>
                <w:szCs w:val="20"/>
              </w:rPr>
            </w:pPr>
            <w:r w:rsidRPr="007B0033">
              <w:rPr>
                <w:rFonts w:eastAsia="Times New Roman"/>
                <w:b/>
                <w:bCs/>
                <w:color w:val="000000"/>
                <w:sz w:val="20"/>
                <w:szCs w:val="20"/>
              </w:rPr>
              <w:t>14.79%</w:t>
            </w:r>
          </w:p>
        </w:tc>
        <w:tc>
          <w:tcPr>
            <w:tcW w:w="1123" w:type="dxa"/>
            <w:tcBorders>
              <w:top w:val="single" w:sz="4" w:space="0" w:color="8EA9DB"/>
              <w:left w:val="nil"/>
              <w:bottom w:val="nil"/>
              <w:right w:val="nil"/>
            </w:tcBorders>
            <w:shd w:val="clear" w:color="D9E1F2" w:fill="D9E1F2"/>
            <w:noWrap/>
            <w:vAlign w:val="bottom"/>
            <w:hideMark/>
          </w:tcPr>
          <w:p w14:paraId="571C095D" w14:textId="77777777" w:rsidR="00EE3448" w:rsidRPr="007B0033" w:rsidRDefault="00EE3448" w:rsidP="00EE3448">
            <w:pPr>
              <w:jc w:val="both"/>
              <w:rPr>
                <w:rFonts w:eastAsia="Times New Roman"/>
                <w:b/>
                <w:bCs/>
                <w:color w:val="000000"/>
                <w:sz w:val="20"/>
                <w:szCs w:val="20"/>
              </w:rPr>
            </w:pPr>
            <w:r w:rsidRPr="007B0033">
              <w:rPr>
                <w:rFonts w:eastAsia="Times New Roman"/>
                <w:b/>
                <w:bCs/>
                <w:color w:val="000000"/>
                <w:sz w:val="20"/>
                <w:szCs w:val="20"/>
              </w:rPr>
              <w:t>54.58%</w:t>
            </w:r>
          </w:p>
        </w:tc>
        <w:tc>
          <w:tcPr>
            <w:tcW w:w="1124" w:type="dxa"/>
            <w:tcBorders>
              <w:top w:val="single" w:sz="4" w:space="0" w:color="8EA9DB"/>
              <w:left w:val="nil"/>
              <w:bottom w:val="nil"/>
              <w:right w:val="nil"/>
            </w:tcBorders>
            <w:shd w:val="clear" w:color="D9E1F2" w:fill="D9E1F2"/>
            <w:noWrap/>
            <w:vAlign w:val="bottom"/>
            <w:hideMark/>
          </w:tcPr>
          <w:p w14:paraId="69A006FB" w14:textId="77777777" w:rsidR="00EE3448" w:rsidRPr="007B0033" w:rsidRDefault="00EE3448" w:rsidP="00EE3448">
            <w:pPr>
              <w:jc w:val="both"/>
              <w:rPr>
                <w:rFonts w:eastAsia="Times New Roman"/>
                <w:b/>
                <w:bCs/>
                <w:color w:val="000000"/>
                <w:sz w:val="20"/>
                <w:szCs w:val="20"/>
              </w:rPr>
            </w:pPr>
            <w:r w:rsidRPr="007B0033">
              <w:rPr>
                <w:rFonts w:eastAsia="Times New Roman"/>
                <w:b/>
                <w:bCs/>
                <w:color w:val="000000"/>
                <w:sz w:val="20"/>
                <w:szCs w:val="20"/>
              </w:rPr>
              <w:t>45.42%</w:t>
            </w:r>
          </w:p>
        </w:tc>
        <w:tc>
          <w:tcPr>
            <w:tcW w:w="1123" w:type="dxa"/>
            <w:tcBorders>
              <w:top w:val="single" w:sz="4" w:space="0" w:color="8EA9DB"/>
              <w:left w:val="nil"/>
              <w:bottom w:val="nil"/>
              <w:right w:val="nil"/>
            </w:tcBorders>
            <w:shd w:val="clear" w:color="D9E1F2" w:fill="D9E1F2"/>
            <w:noWrap/>
            <w:vAlign w:val="bottom"/>
            <w:hideMark/>
          </w:tcPr>
          <w:p w14:paraId="3B38AEFD" w14:textId="77777777" w:rsidR="00EE3448" w:rsidRPr="007B0033" w:rsidRDefault="00EE3448" w:rsidP="00EE3448">
            <w:pPr>
              <w:jc w:val="both"/>
              <w:rPr>
                <w:rFonts w:eastAsia="Times New Roman"/>
                <w:b/>
                <w:bCs/>
                <w:color w:val="000000"/>
                <w:sz w:val="20"/>
                <w:szCs w:val="20"/>
              </w:rPr>
            </w:pPr>
            <w:r w:rsidRPr="007B0033">
              <w:rPr>
                <w:rFonts w:eastAsia="Times New Roman"/>
                <w:b/>
                <w:bCs/>
                <w:color w:val="000000"/>
                <w:sz w:val="20"/>
                <w:szCs w:val="20"/>
              </w:rPr>
              <w:t>44.42%</w:t>
            </w:r>
          </w:p>
        </w:tc>
        <w:tc>
          <w:tcPr>
            <w:tcW w:w="1124" w:type="dxa"/>
            <w:tcBorders>
              <w:top w:val="single" w:sz="4" w:space="0" w:color="8EA9DB"/>
              <w:left w:val="nil"/>
              <w:bottom w:val="nil"/>
              <w:right w:val="nil"/>
            </w:tcBorders>
            <w:shd w:val="clear" w:color="D9E1F2" w:fill="D9E1F2"/>
            <w:noWrap/>
            <w:vAlign w:val="bottom"/>
            <w:hideMark/>
          </w:tcPr>
          <w:p w14:paraId="089DF7A8" w14:textId="77777777" w:rsidR="00EE3448" w:rsidRPr="007B0033" w:rsidRDefault="00EE3448" w:rsidP="00EE3448">
            <w:pPr>
              <w:jc w:val="both"/>
              <w:rPr>
                <w:rFonts w:eastAsia="Times New Roman"/>
                <w:b/>
                <w:bCs/>
                <w:color w:val="000000"/>
                <w:sz w:val="20"/>
                <w:szCs w:val="20"/>
              </w:rPr>
            </w:pPr>
            <w:r w:rsidRPr="007B0033">
              <w:rPr>
                <w:rFonts w:eastAsia="Times New Roman"/>
                <w:b/>
                <w:bCs/>
                <w:color w:val="000000"/>
                <w:sz w:val="20"/>
                <w:szCs w:val="20"/>
              </w:rPr>
              <w:t>55.58%</w:t>
            </w:r>
          </w:p>
        </w:tc>
      </w:tr>
    </w:tbl>
    <w:p w14:paraId="3087BFA7" w14:textId="71B47768" w:rsidR="00EE3448" w:rsidRPr="00043C53" w:rsidRDefault="00EE3448" w:rsidP="00B54575">
      <w:pPr>
        <w:contextualSpacing/>
        <w:jc w:val="both"/>
        <w:outlineLvl w:val="0"/>
      </w:pPr>
    </w:p>
    <w:p w14:paraId="587461BA" w14:textId="77777777" w:rsidR="0068259E" w:rsidRDefault="0068259E" w:rsidP="00642502">
      <w:pPr>
        <w:contextualSpacing/>
        <w:jc w:val="both"/>
        <w:rPr>
          <w:b/>
        </w:rPr>
      </w:pPr>
    </w:p>
    <w:p w14:paraId="680A23EA" w14:textId="69041D25" w:rsidR="00C30F06" w:rsidRDefault="00C061D9" w:rsidP="0024320D">
      <w:pPr>
        <w:ind w:left="720"/>
        <w:contextualSpacing/>
        <w:jc w:val="both"/>
        <w:outlineLvl w:val="0"/>
        <w:rPr>
          <w:b/>
        </w:rPr>
      </w:pPr>
      <w:r>
        <w:rPr>
          <w:b/>
        </w:rPr>
        <w:t>Conclusion</w:t>
      </w:r>
    </w:p>
    <w:p w14:paraId="7C966403" w14:textId="77777777" w:rsidR="00EE3448" w:rsidRPr="00EE3448" w:rsidRDefault="00EE3448" w:rsidP="00EE3448">
      <w:pPr>
        <w:ind w:left="720"/>
        <w:contextualSpacing/>
        <w:jc w:val="both"/>
        <w:rPr>
          <w:b/>
        </w:rPr>
      </w:pPr>
    </w:p>
    <w:p w14:paraId="0D7FE18C" w14:textId="19A27A02" w:rsidR="00517981" w:rsidRDefault="00043C53" w:rsidP="00EE3448">
      <w:pPr>
        <w:widowControl w:val="0"/>
        <w:autoSpaceDE w:val="0"/>
        <w:autoSpaceDN w:val="0"/>
        <w:adjustRightInd w:val="0"/>
        <w:spacing w:after="240"/>
        <w:ind w:left="720"/>
        <w:contextualSpacing/>
        <w:jc w:val="both"/>
      </w:pPr>
      <w:r>
        <w:t xml:space="preserve">    </w:t>
      </w:r>
      <w:r w:rsidR="005A11EC">
        <w:tab/>
      </w:r>
      <w:r w:rsidR="00FE7CAE">
        <w:t>In t</w:t>
      </w:r>
      <w:r w:rsidR="00EA1B5A">
        <w:t>he present study</w:t>
      </w:r>
      <w:r w:rsidR="00F32340">
        <w:t>,</w:t>
      </w:r>
      <w:r w:rsidR="00EA1B5A">
        <w:t xml:space="preserve"> </w:t>
      </w:r>
      <w:r w:rsidR="00E22EF5">
        <w:t xml:space="preserve">we explored how students in Azerbaijani key public universities are involved in the reform process </w:t>
      </w:r>
      <w:r w:rsidR="00DD1208">
        <w:t xml:space="preserve">based on </w:t>
      </w:r>
      <w:r w:rsidR="00F32340">
        <w:t xml:space="preserve">the </w:t>
      </w:r>
      <w:r w:rsidR="00DD1208">
        <w:t>main</w:t>
      </w:r>
      <w:r w:rsidR="001474C3">
        <w:t xml:space="preserve"> Bologna principle</w:t>
      </w:r>
      <w:r w:rsidR="00357B20">
        <w:t>s</w:t>
      </w:r>
      <w:r w:rsidR="001474C3">
        <w:t xml:space="preserve">, such as degree structure, </w:t>
      </w:r>
      <w:r w:rsidR="00454853">
        <w:t>quality assurance, mobility</w:t>
      </w:r>
      <w:r w:rsidR="001474C3">
        <w:t xml:space="preserve">, and social dimension. </w:t>
      </w:r>
      <w:r w:rsidR="00FE7CAE">
        <w:t>The analysis of the comprehensive survey results</w:t>
      </w:r>
      <w:r w:rsidR="00977735">
        <w:t xml:space="preserve"> provided insights into how </w:t>
      </w:r>
      <w:r w:rsidR="00C23589">
        <w:t>knowledgeable</w:t>
      </w:r>
      <w:r w:rsidR="00C23589" w:rsidDel="00C23589">
        <w:t xml:space="preserve"> </w:t>
      </w:r>
      <w:r w:rsidR="00977735">
        <w:t>students are and what their experience is with regard to the transformation in HEIs in Azerbaijan.</w:t>
      </w:r>
      <w:r w:rsidR="00E12744">
        <w:t xml:space="preserve"> Quantitative and qualitative results allow us to claim that significant changes </w:t>
      </w:r>
      <w:r w:rsidR="00C23589">
        <w:t xml:space="preserve">prompted by Bologna process </w:t>
      </w:r>
      <w:r w:rsidR="001842AD">
        <w:t xml:space="preserve">have </w:t>
      </w:r>
      <w:r w:rsidR="00C23589">
        <w:t xml:space="preserve">occurred </w:t>
      </w:r>
      <w:r w:rsidR="001842AD">
        <w:t xml:space="preserve">in </w:t>
      </w:r>
      <w:r w:rsidR="00C23589">
        <w:t xml:space="preserve">the </w:t>
      </w:r>
      <w:r w:rsidR="001842AD">
        <w:t xml:space="preserve">Azerbaijani higher education system </w:t>
      </w:r>
      <w:r w:rsidR="00F07589">
        <w:t xml:space="preserve">overall. A closer look however, demonstrates that some </w:t>
      </w:r>
      <w:r w:rsidR="006A6272">
        <w:t xml:space="preserve">major </w:t>
      </w:r>
      <w:r w:rsidR="00F07589">
        <w:t xml:space="preserve">areas still </w:t>
      </w:r>
      <w:r w:rsidR="005F6F95">
        <w:t>require</w:t>
      </w:r>
      <w:r w:rsidR="00F07589">
        <w:t xml:space="preserve"> more thorough </w:t>
      </w:r>
      <w:r w:rsidR="00AA1735">
        <w:t>attention and examination</w:t>
      </w:r>
      <w:r w:rsidR="005F6F95">
        <w:t xml:space="preserve"> to align </w:t>
      </w:r>
      <w:r w:rsidR="00C23589">
        <w:t xml:space="preserve">the </w:t>
      </w:r>
      <w:r w:rsidR="005F6F95">
        <w:t>Azerbaijani higher education system with European practices</w:t>
      </w:r>
      <w:r w:rsidR="00AA1735">
        <w:t xml:space="preserve">. </w:t>
      </w:r>
      <w:r w:rsidR="00A84526">
        <w:t xml:space="preserve">Although the reform in degree structure can be </w:t>
      </w:r>
      <w:r w:rsidR="00235414">
        <w:t xml:space="preserve">accepted </w:t>
      </w:r>
      <w:r w:rsidR="008611C9">
        <w:t xml:space="preserve">as successful in terms of using ECTS, </w:t>
      </w:r>
      <w:r w:rsidR="002D1D84">
        <w:t>more flexibility within studies should be provided to make the overall system more student-oriented and provide freedom to students to de</w:t>
      </w:r>
      <w:r w:rsidR="00C23589">
        <w:t xml:space="preserve">termine </w:t>
      </w:r>
      <w:r w:rsidR="002D1D84">
        <w:t xml:space="preserve">their study path. </w:t>
      </w:r>
      <w:r w:rsidR="008A467B">
        <w:t xml:space="preserve">Also, active </w:t>
      </w:r>
      <w:r w:rsidR="00E34608">
        <w:t>student part</w:t>
      </w:r>
      <w:r w:rsidR="00EC1FE8">
        <w:t>icipation within HEIs</w:t>
      </w:r>
      <w:r w:rsidR="00E34608">
        <w:t xml:space="preserve"> with more focus on student involvement in decision</w:t>
      </w:r>
      <w:r w:rsidR="00C23589">
        <w:t>-</w:t>
      </w:r>
      <w:r w:rsidR="00E34608">
        <w:t>making bodies with the aim to have their opini</w:t>
      </w:r>
      <w:r w:rsidR="00EC1FE8">
        <w:t xml:space="preserve">ons </w:t>
      </w:r>
      <w:r w:rsidR="00C23589">
        <w:t>o</w:t>
      </w:r>
      <w:r w:rsidR="00EC1FE8">
        <w:t>n topics</w:t>
      </w:r>
      <w:r w:rsidR="00E34608">
        <w:t xml:space="preserve"> such as evaluation and curriculum reform</w:t>
      </w:r>
      <w:r w:rsidR="00EC1FE8">
        <w:t xml:space="preserve"> should be one of the priorities in the process of development</w:t>
      </w:r>
      <w:r w:rsidR="00E34608">
        <w:t xml:space="preserve">. </w:t>
      </w:r>
      <w:r w:rsidR="00EC1FE8">
        <w:t xml:space="preserve">Within the dynamic </w:t>
      </w:r>
      <w:r w:rsidR="001701CB">
        <w:t>practice</w:t>
      </w:r>
      <w:r w:rsidR="00EC1FE8">
        <w:t xml:space="preserve"> of transformation in Azerbaijani universities, </w:t>
      </w:r>
      <w:r w:rsidR="008421A7">
        <w:t xml:space="preserve">there </w:t>
      </w:r>
      <w:r w:rsidR="00EC1FE8">
        <w:t>still remain problems that need to be tackled in order to ensure the meaningful transition of Azerbaijani HEIs into EHEA.</w:t>
      </w:r>
      <w:r w:rsidR="001A6265">
        <w:t xml:space="preserve"> Emplo</w:t>
      </w:r>
      <w:r w:rsidR="001701CB">
        <w:t xml:space="preserve">yability of students after finishing the first cycle must be </w:t>
      </w:r>
      <w:r w:rsidR="00C23589">
        <w:t xml:space="preserve">a central concern of </w:t>
      </w:r>
      <w:r w:rsidR="00A31DC1">
        <w:t xml:space="preserve">authorities and institutional leaders </w:t>
      </w:r>
      <w:r w:rsidR="001701CB">
        <w:t xml:space="preserve">while </w:t>
      </w:r>
      <w:r w:rsidR="008421A7">
        <w:t>restructuring</w:t>
      </w:r>
      <w:r w:rsidR="001701CB">
        <w:t xml:space="preserve"> the study programs, since the research shows that our students are doubtful </w:t>
      </w:r>
      <w:r w:rsidR="00CD3D4B">
        <w:t xml:space="preserve">about their chances to find a job after receiving </w:t>
      </w:r>
      <w:r w:rsidR="006D7E63">
        <w:t xml:space="preserve">a bachelor’s </w:t>
      </w:r>
      <w:r w:rsidR="00CD3D4B">
        <w:t xml:space="preserve">degree. </w:t>
      </w:r>
      <w:r w:rsidR="001A6265">
        <w:t xml:space="preserve">Closely related to this issue is </w:t>
      </w:r>
      <w:r w:rsidR="00FE5FF8">
        <w:t xml:space="preserve">the </w:t>
      </w:r>
      <w:r w:rsidR="001A6265">
        <w:t xml:space="preserve">gap </w:t>
      </w:r>
      <w:r w:rsidR="00217A5D">
        <w:t xml:space="preserve">existing </w:t>
      </w:r>
      <w:r w:rsidR="001A6265">
        <w:t xml:space="preserve">in </w:t>
      </w:r>
      <w:r w:rsidR="00217A5D">
        <w:t xml:space="preserve">the </w:t>
      </w:r>
      <w:r w:rsidR="001A6265">
        <w:t xml:space="preserve">student support services </w:t>
      </w:r>
      <w:r w:rsidR="00FE5FF8">
        <w:t>in A</w:t>
      </w:r>
      <w:r w:rsidR="0002340A">
        <w:t xml:space="preserve">zerbaijani universities. Based </w:t>
      </w:r>
      <w:r w:rsidR="0002340A">
        <w:lastRenderedPageBreak/>
        <w:t xml:space="preserve">on </w:t>
      </w:r>
      <w:r w:rsidR="00217A5D">
        <w:t>the present research findings</w:t>
      </w:r>
      <w:r w:rsidR="00DD1208">
        <w:t>,</w:t>
      </w:r>
      <w:r w:rsidR="00217A5D">
        <w:t xml:space="preserve"> it</w:t>
      </w:r>
      <w:r w:rsidR="0002340A">
        <w:t xml:space="preserve"> </w:t>
      </w:r>
      <w:r w:rsidR="00DC5416">
        <w:t xml:space="preserve">can </w:t>
      </w:r>
      <w:r w:rsidR="00217A5D">
        <w:t xml:space="preserve">be </w:t>
      </w:r>
      <w:r w:rsidR="008E7797">
        <w:t>concluded</w:t>
      </w:r>
      <w:r w:rsidR="00DC5416">
        <w:t xml:space="preserve"> that </w:t>
      </w:r>
      <w:r w:rsidR="00217A5D">
        <w:t xml:space="preserve">we have </w:t>
      </w:r>
      <w:r w:rsidR="008E7797">
        <w:t xml:space="preserve">yet to convincingly address this </w:t>
      </w:r>
      <w:r w:rsidR="000D79E4">
        <w:t>gap</w:t>
      </w:r>
      <w:r w:rsidR="00217A5D">
        <w:t xml:space="preserve">, at least in the eyes </w:t>
      </w:r>
      <w:r w:rsidR="00DD1208">
        <w:t>of 2400 Azerbaijani students. W</w:t>
      </w:r>
      <w:r w:rsidR="00217A5D">
        <w:t xml:space="preserve">e </w:t>
      </w:r>
      <w:r w:rsidR="0002340A">
        <w:t>suggest that our</w:t>
      </w:r>
      <w:r w:rsidR="00FE5FF8">
        <w:t xml:space="preserve"> institutions </w:t>
      </w:r>
      <w:r w:rsidR="0002340A">
        <w:t>devote more attention to the development of career guidance services, introduction of additional language courses</w:t>
      </w:r>
      <w:r w:rsidR="006D7E63">
        <w:t>,</w:t>
      </w:r>
      <w:r w:rsidR="0002340A">
        <w:t xml:space="preserve"> as well as opportunities of study flexibility. </w:t>
      </w:r>
      <w:r w:rsidR="00D63ED6">
        <w:t xml:space="preserve">As we can see from the results, merely switching to a new structure in study programs is not enough to develop high quality professionals meeting the demands of </w:t>
      </w:r>
      <w:r w:rsidR="006D7E63">
        <w:t xml:space="preserve">the </w:t>
      </w:r>
      <w:r w:rsidR="00D63ED6">
        <w:t>modern labor market. Identifying the ga</w:t>
      </w:r>
      <w:r w:rsidR="004424C1">
        <w:t>p</w:t>
      </w:r>
      <w:r w:rsidR="005A72B8">
        <w:t>s in the programs and integrating top competences into curriculum of the study programs should be the focus of HEIs.</w:t>
      </w:r>
      <w:r w:rsidR="00D63ED6">
        <w:t xml:space="preserve"> </w:t>
      </w:r>
      <w:r w:rsidR="008076FA">
        <w:t xml:space="preserve">A paramount stress should </w:t>
      </w:r>
      <w:r w:rsidR="00217A5D">
        <w:t>also be</w:t>
      </w:r>
      <w:r w:rsidR="008076FA">
        <w:t xml:space="preserve"> </w:t>
      </w:r>
      <w:r w:rsidR="00893007">
        <w:t>put on the role of students in the governing bodies to hear their suggestions and opinions with regard to workload, curriculum, and concerns related not only</w:t>
      </w:r>
      <w:r w:rsidR="00921B9A">
        <w:t xml:space="preserve"> </w:t>
      </w:r>
      <w:r w:rsidR="006D7E63">
        <w:t xml:space="preserve">to </w:t>
      </w:r>
      <w:r w:rsidR="00921B9A">
        <w:t xml:space="preserve">faculty and institution but also to program or course in general. </w:t>
      </w:r>
      <w:r w:rsidR="006539E6">
        <w:t xml:space="preserve">In brief, </w:t>
      </w:r>
      <w:r w:rsidR="006D7E63">
        <w:t xml:space="preserve">the </w:t>
      </w:r>
      <w:r w:rsidR="00B04016">
        <w:t>students</w:t>
      </w:r>
      <w:r w:rsidR="006D7E63">
        <w:t>’</w:t>
      </w:r>
      <w:r w:rsidR="00B04016">
        <w:t xml:space="preserve"> role in various stages of Bologna reform cannot be underestimated because</w:t>
      </w:r>
      <w:r w:rsidR="006D7E63">
        <w:t>,</w:t>
      </w:r>
      <w:r w:rsidR="00740563">
        <w:t xml:space="preserve"> </w:t>
      </w:r>
      <w:r w:rsidR="00517981">
        <w:t>“s</w:t>
      </w:r>
      <w:r w:rsidR="00740563" w:rsidRPr="00740563">
        <w:t>ince the Prague summit in 2001 student involvement is one of the action lines in the Bologna Process. However, current developments may give the impression that it is rather not the case</w:t>
      </w:r>
      <w:r w:rsidR="007F6D4F">
        <w:t>” (Bologna with students’ eyes, 2005, p. 6).</w:t>
      </w:r>
      <w:r w:rsidR="00740563" w:rsidRPr="00740563">
        <w:t xml:space="preserve"> </w:t>
      </w:r>
    </w:p>
    <w:p w14:paraId="749159D3" w14:textId="77777777" w:rsidR="004E6FA3" w:rsidRDefault="004E6FA3" w:rsidP="00642502">
      <w:pPr>
        <w:contextualSpacing/>
        <w:jc w:val="both"/>
      </w:pPr>
    </w:p>
    <w:p w14:paraId="3D2C8A86" w14:textId="346B5907" w:rsidR="00231A8B" w:rsidRPr="003656D2" w:rsidRDefault="00CA4EC9" w:rsidP="0024320D">
      <w:pPr>
        <w:contextualSpacing/>
        <w:jc w:val="both"/>
        <w:outlineLvl w:val="0"/>
        <w:rPr>
          <w:b/>
        </w:rPr>
      </w:pPr>
      <w:r w:rsidRPr="003656D2">
        <w:rPr>
          <w:b/>
        </w:rPr>
        <w:t>REFERENCES</w:t>
      </w:r>
    </w:p>
    <w:p w14:paraId="7C611B90" w14:textId="77777777" w:rsidR="00CA4EC9" w:rsidRDefault="00CA4EC9" w:rsidP="00642502">
      <w:pPr>
        <w:contextualSpacing/>
        <w:jc w:val="both"/>
      </w:pPr>
    </w:p>
    <w:p w14:paraId="4E3F3854" w14:textId="77777777" w:rsidR="00AB54CD" w:rsidRDefault="00AB54CD" w:rsidP="0024320D">
      <w:pPr>
        <w:jc w:val="both"/>
        <w:outlineLvl w:val="0"/>
        <w:rPr>
          <w:rFonts w:eastAsia="Times New Roman"/>
          <w:color w:val="000000"/>
          <w:shd w:val="clear" w:color="auto" w:fill="FFFFFF"/>
        </w:rPr>
      </w:pPr>
      <w:proofErr w:type="spellStart"/>
      <w:r w:rsidRPr="00AB54CD">
        <w:rPr>
          <w:rFonts w:eastAsia="Times New Roman"/>
          <w:color w:val="000000"/>
          <w:shd w:val="clear" w:color="auto" w:fill="FFFFFF"/>
        </w:rPr>
        <w:t>Ahn</w:t>
      </w:r>
      <w:proofErr w:type="spellEnd"/>
      <w:r w:rsidRPr="00AB54CD">
        <w:rPr>
          <w:rFonts w:eastAsia="Times New Roman"/>
          <w:color w:val="000000"/>
          <w:shd w:val="clear" w:color="auto" w:fill="FFFFFF"/>
        </w:rPr>
        <w:t xml:space="preserve"> E. (2016) Moving Toward Bologna: Internationalization and Institutional Convergence in </w:t>
      </w:r>
      <w:r>
        <w:rPr>
          <w:rFonts w:eastAsia="Times New Roman"/>
          <w:color w:val="000000"/>
          <w:shd w:val="clear" w:color="auto" w:fill="FFFFFF"/>
        </w:rPr>
        <w:t xml:space="preserve">   </w:t>
      </w:r>
    </w:p>
    <w:p w14:paraId="6A711777" w14:textId="64CE4E4D" w:rsidR="00AB54CD" w:rsidRPr="00E57E4B" w:rsidRDefault="00AB54CD" w:rsidP="00642502">
      <w:pPr>
        <w:jc w:val="both"/>
        <w:rPr>
          <w:rFonts w:eastAsia="Times New Roman"/>
        </w:rPr>
      </w:pPr>
      <w:r>
        <w:rPr>
          <w:rFonts w:eastAsia="Times New Roman"/>
          <w:color w:val="000000"/>
          <w:shd w:val="clear" w:color="auto" w:fill="FFFFFF"/>
        </w:rPr>
        <w:t xml:space="preserve">         </w:t>
      </w:r>
      <w:r w:rsidRPr="00AB54CD">
        <w:rPr>
          <w:rFonts w:eastAsia="Times New Roman"/>
          <w:color w:val="000000"/>
          <w:shd w:val="clear" w:color="auto" w:fill="FFFFFF"/>
        </w:rPr>
        <w:t>Kazakhstani Higher Education. </w:t>
      </w:r>
      <w:r w:rsidRPr="00AB54CD">
        <w:rPr>
          <w:rStyle w:val="Emphasis"/>
          <w:rFonts w:eastAsia="Times New Roman"/>
          <w:color w:val="000000"/>
          <w:shd w:val="clear" w:color="auto" w:fill="FFFFFF"/>
        </w:rPr>
        <w:t>Higher Education in Russia and Beyond</w:t>
      </w:r>
      <w:r w:rsidRPr="00AB54CD">
        <w:rPr>
          <w:rFonts w:eastAsia="Times New Roman"/>
          <w:color w:val="000000"/>
          <w:shd w:val="clear" w:color="auto" w:fill="FFFFFF"/>
        </w:rPr>
        <w:t>, 2(8), pp. 8-9</w:t>
      </w:r>
    </w:p>
    <w:p w14:paraId="2426106A" w14:textId="77777777" w:rsidR="00AB767F" w:rsidRDefault="006249F6" w:rsidP="00642502">
      <w:pPr>
        <w:jc w:val="both"/>
        <w:rPr>
          <w:rFonts w:eastAsia="Times New Roman"/>
          <w:i/>
          <w:iCs/>
          <w:color w:val="333333"/>
        </w:rPr>
      </w:pPr>
      <w:r w:rsidRPr="0024320D">
        <w:rPr>
          <w:rFonts w:eastAsia="Times New Roman"/>
          <w:color w:val="333333"/>
          <w:shd w:val="clear" w:color="auto" w:fill="FFFFFF"/>
          <w:lang w:val="pt-BR"/>
        </w:rPr>
        <w:t xml:space="preserve">Aliyev, G., </w:t>
      </w:r>
      <w:proofErr w:type="spellStart"/>
      <w:r w:rsidRPr="0024320D">
        <w:rPr>
          <w:rFonts w:eastAsia="Times New Roman"/>
          <w:color w:val="333333"/>
          <w:shd w:val="clear" w:color="auto" w:fill="FFFFFF"/>
          <w:lang w:val="pt-BR"/>
        </w:rPr>
        <w:t>Valiyev</w:t>
      </w:r>
      <w:proofErr w:type="spellEnd"/>
      <w:r w:rsidRPr="0024320D">
        <w:rPr>
          <w:rFonts w:eastAsia="Times New Roman"/>
          <w:color w:val="333333"/>
          <w:shd w:val="clear" w:color="auto" w:fill="FFFFFF"/>
          <w:lang w:val="pt-BR"/>
        </w:rPr>
        <w:t xml:space="preserve">, A., &amp; </w:t>
      </w:r>
      <w:proofErr w:type="spellStart"/>
      <w:r w:rsidRPr="0024320D">
        <w:rPr>
          <w:rFonts w:eastAsia="Times New Roman"/>
          <w:color w:val="333333"/>
          <w:shd w:val="clear" w:color="auto" w:fill="FFFFFF"/>
          <w:lang w:val="pt-BR"/>
        </w:rPr>
        <w:t>Rustamova</w:t>
      </w:r>
      <w:proofErr w:type="spellEnd"/>
      <w:r w:rsidRPr="0024320D">
        <w:rPr>
          <w:rFonts w:eastAsia="Times New Roman"/>
          <w:color w:val="333333"/>
          <w:shd w:val="clear" w:color="auto" w:fill="FFFFFF"/>
          <w:lang w:val="pt-BR"/>
        </w:rPr>
        <w:t>, S. (2011). </w:t>
      </w:r>
      <w:r>
        <w:rPr>
          <w:rFonts w:eastAsia="Times New Roman"/>
          <w:i/>
          <w:iCs/>
          <w:color w:val="333333"/>
        </w:rPr>
        <w:t xml:space="preserve">Social Protection and Social Inclusion in </w:t>
      </w:r>
      <w:r w:rsidR="002F3D7F">
        <w:rPr>
          <w:rFonts w:eastAsia="Times New Roman"/>
          <w:i/>
          <w:iCs/>
          <w:color w:val="333333"/>
        </w:rPr>
        <w:t xml:space="preserve">     </w:t>
      </w:r>
    </w:p>
    <w:p w14:paraId="161ABACB" w14:textId="77777777" w:rsidR="00AB767F" w:rsidRDefault="00AB767F" w:rsidP="00642502">
      <w:pPr>
        <w:jc w:val="both"/>
        <w:rPr>
          <w:rFonts w:eastAsia="Times New Roman"/>
          <w:color w:val="333333"/>
          <w:shd w:val="clear" w:color="auto" w:fill="FFFFFF"/>
        </w:rPr>
      </w:pPr>
      <w:r>
        <w:rPr>
          <w:rFonts w:eastAsia="Times New Roman"/>
          <w:i/>
          <w:iCs/>
          <w:color w:val="333333"/>
        </w:rPr>
        <w:t xml:space="preserve">        </w:t>
      </w:r>
      <w:r w:rsidR="006249F6">
        <w:rPr>
          <w:rFonts w:eastAsia="Times New Roman"/>
          <w:i/>
          <w:iCs/>
          <w:color w:val="333333"/>
        </w:rPr>
        <w:t>Azerbaijan</w:t>
      </w:r>
      <w:r w:rsidR="006249F6">
        <w:rPr>
          <w:rFonts w:eastAsia="Times New Roman"/>
          <w:color w:val="333333"/>
          <w:shd w:val="clear" w:color="auto" w:fill="FFFFFF"/>
        </w:rPr>
        <w:t xml:space="preserve">. Manuscript, European Commission Directorate-General for Employment, </w:t>
      </w:r>
    </w:p>
    <w:p w14:paraId="020E8F88" w14:textId="599EC19A" w:rsidR="00E46891" w:rsidRPr="00E57E4B" w:rsidRDefault="00AB767F" w:rsidP="00642502">
      <w:pPr>
        <w:jc w:val="both"/>
        <w:rPr>
          <w:rFonts w:eastAsia="Times New Roman"/>
        </w:rPr>
      </w:pPr>
      <w:r>
        <w:rPr>
          <w:rFonts w:eastAsia="Times New Roman"/>
          <w:color w:val="333333"/>
          <w:shd w:val="clear" w:color="auto" w:fill="FFFFFF"/>
        </w:rPr>
        <w:t xml:space="preserve">        </w:t>
      </w:r>
      <w:r w:rsidR="006249F6">
        <w:rPr>
          <w:rFonts w:eastAsia="Times New Roman"/>
          <w:color w:val="333333"/>
          <w:shd w:val="clear" w:color="auto" w:fill="FFFFFF"/>
        </w:rPr>
        <w:t>Social Affairs and Inclusion.</w:t>
      </w:r>
    </w:p>
    <w:p w14:paraId="03A50C15" w14:textId="2263CD1D" w:rsidR="00E46891" w:rsidRDefault="00E46891" w:rsidP="00642502">
      <w:pPr>
        <w:jc w:val="both"/>
        <w:rPr>
          <w:rFonts w:eastAsia="Times New Roman"/>
          <w:color w:val="333333"/>
          <w:shd w:val="clear" w:color="auto" w:fill="FFFFFF"/>
        </w:rPr>
      </w:pPr>
      <w:proofErr w:type="spellStart"/>
      <w:r>
        <w:rPr>
          <w:rFonts w:eastAsia="Times New Roman"/>
          <w:color w:val="333333"/>
          <w:shd w:val="clear" w:color="auto" w:fill="FFFFFF"/>
        </w:rPr>
        <w:t>Baghirov</w:t>
      </w:r>
      <w:proofErr w:type="spellEnd"/>
      <w:r>
        <w:rPr>
          <w:rFonts w:eastAsia="Times New Roman"/>
          <w:color w:val="333333"/>
          <w:shd w:val="clear" w:color="auto" w:fill="FFFFFF"/>
        </w:rPr>
        <w:t xml:space="preserve">, P., &amp; </w:t>
      </w:r>
      <w:proofErr w:type="spellStart"/>
      <w:r>
        <w:rPr>
          <w:rFonts w:eastAsia="Times New Roman"/>
          <w:color w:val="333333"/>
          <w:shd w:val="clear" w:color="auto" w:fill="FFFFFF"/>
        </w:rPr>
        <w:t>Gurbanova</w:t>
      </w:r>
      <w:proofErr w:type="spellEnd"/>
      <w:r>
        <w:rPr>
          <w:rFonts w:eastAsia="Times New Roman"/>
          <w:color w:val="333333"/>
          <w:shd w:val="clear" w:color="auto" w:fill="FFFFFF"/>
        </w:rPr>
        <w:t>, V. (2017). </w:t>
      </w:r>
      <w:r>
        <w:rPr>
          <w:rFonts w:eastAsia="Times New Roman"/>
          <w:i/>
          <w:iCs/>
          <w:color w:val="333333"/>
        </w:rPr>
        <w:t xml:space="preserve">Overview of the higher education system </w:t>
      </w:r>
      <w:r w:rsidR="00F95252">
        <w:rPr>
          <w:rFonts w:eastAsia="Times New Roman"/>
          <w:i/>
          <w:iCs/>
          <w:color w:val="333333"/>
        </w:rPr>
        <w:t xml:space="preserve">in </w:t>
      </w:r>
      <w:r>
        <w:rPr>
          <w:rFonts w:eastAsia="Times New Roman"/>
          <w:i/>
          <w:iCs/>
          <w:color w:val="333333"/>
        </w:rPr>
        <w:t>Azerbaijan</w:t>
      </w:r>
      <w:r>
        <w:rPr>
          <w:rFonts w:eastAsia="Times New Roman"/>
          <w:color w:val="333333"/>
          <w:shd w:val="clear" w:color="auto" w:fill="FFFFFF"/>
        </w:rPr>
        <w:t xml:space="preserve">. </w:t>
      </w:r>
    </w:p>
    <w:p w14:paraId="07AFE9A0" w14:textId="3A7624C9" w:rsidR="006249F6" w:rsidRPr="00E57E4B" w:rsidRDefault="00E46891" w:rsidP="00642502">
      <w:pPr>
        <w:jc w:val="both"/>
        <w:rPr>
          <w:rFonts w:eastAsia="Times New Roman"/>
        </w:rPr>
      </w:pPr>
      <w:r>
        <w:rPr>
          <w:rFonts w:eastAsia="Times New Roman"/>
          <w:color w:val="333333"/>
          <w:shd w:val="clear" w:color="auto" w:fill="FFFFFF"/>
        </w:rPr>
        <w:t xml:space="preserve">        Luxembourg: Publications Office.</w:t>
      </w:r>
    </w:p>
    <w:p w14:paraId="300365D3" w14:textId="77777777" w:rsidR="00AB767F" w:rsidRDefault="00A75CA7" w:rsidP="00642502">
      <w:pPr>
        <w:contextualSpacing/>
        <w:jc w:val="both"/>
        <w:rPr>
          <w:rFonts w:eastAsia="Times New Roman"/>
          <w:i/>
          <w:iCs/>
          <w:color w:val="323232"/>
        </w:rPr>
      </w:pPr>
      <w:proofErr w:type="spellStart"/>
      <w:r>
        <w:rPr>
          <w:rFonts w:eastAsia="Times New Roman"/>
          <w:color w:val="323232"/>
          <w:shd w:val="clear" w:color="auto" w:fill="FFFFFF"/>
        </w:rPr>
        <w:t>Bargel</w:t>
      </w:r>
      <w:proofErr w:type="spellEnd"/>
      <w:r>
        <w:rPr>
          <w:rFonts w:eastAsia="Times New Roman"/>
          <w:color w:val="323232"/>
          <w:shd w:val="clear" w:color="auto" w:fill="FFFFFF"/>
        </w:rPr>
        <w:t>, T. (2011). </w:t>
      </w:r>
      <w:r>
        <w:rPr>
          <w:rFonts w:eastAsia="Times New Roman"/>
          <w:i/>
          <w:iCs/>
          <w:color w:val="323232"/>
        </w:rPr>
        <w:t xml:space="preserve">Student experiences and evaluation of Bologna-Process and bachelor: </w:t>
      </w:r>
    </w:p>
    <w:p w14:paraId="20F590B2" w14:textId="1D730AF5" w:rsidR="00AB767F" w:rsidRDefault="00AB767F" w:rsidP="0024320D">
      <w:pPr>
        <w:contextualSpacing/>
        <w:jc w:val="both"/>
        <w:outlineLvl w:val="0"/>
        <w:rPr>
          <w:rFonts w:eastAsia="Times New Roman"/>
          <w:color w:val="323232"/>
          <w:shd w:val="clear" w:color="auto" w:fill="FFFFFF"/>
        </w:rPr>
      </w:pPr>
      <w:r>
        <w:rPr>
          <w:rFonts w:eastAsia="Times New Roman"/>
          <w:i/>
          <w:iCs/>
          <w:color w:val="323232"/>
        </w:rPr>
        <w:t xml:space="preserve">        </w:t>
      </w:r>
      <w:r w:rsidR="00F95252">
        <w:rPr>
          <w:rFonts w:eastAsia="Times New Roman"/>
          <w:i/>
          <w:iCs/>
          <w:color w:val="323232"/>
        </w:rPr>
        <w:t>Empirical results of the G</w:t>
      </w:r>
      <w:r w:rsidR="00A75CA7">
        <w:rPr>
          <w:rFonts w:eastAsia="Times New Roman"/>
          <w:i/>
          <w:iCs/>
          <w:color w:val="323232"/>
        </w:rPr>
        <w:t>erman student survey</w:t>
      </w:r>
      <w:r w:rsidR="00A75CA7">
        <w:rPr>
          <w:rFonts w:eastAsia="Times New Roman"/>
          <w:color w:val="323232"/>
          <w:shd w:val="clear" w:color="auto" w:fill="FFFFFF"/>
        </w:rPr>
        <w:t xml:space="preserve">. Konstanz: </w:t>
      </w:r>
      <w:proofErr w:type="spellStart"/>
      <w:r w:rsidR="00A75CA7">
        <w:rPr>
          <w:rFonts w:eastAsia="Times New Roman"/>
          <w:color w:val="323232"/>
          <w:shd w:val="clear" w:color="auto" w:fill="FFFFFF"/>
        </w:rPr>
        <w:t>Arbeitsgruppe</w:t>
      </w:r>
      <w:proofErr w:type="spellEnd"/>
      <w:r w:rsidR="00A75CA7">
        <w:rPr>
          <w:rFonts w:eastAsia="Times New Roman"/>
          <w:color w:val="323232"/>
          <w:shd w:val="clear" w:color="auto" w:fill="FFFFFF"/>
        </w:rPr>
        <w:t xml:space="preserve"> </w:t>
      </w:r>
    </w:p>
    <w:p w14:paraId="7EB1C187" w14:textId="616E05D0" w:rsidR="000C6364" w:rsidRPr="00E57E4B" w:rsidRDefault="00AB767F" w:rsidP="00642502">
      <w:pPr>
        <w:contextualSpacing/>
        <w:jc w:val="both"/>
        <w:rPr>
          <w:rFonts w:eastAsia="Times New Roman"/>
        </w:rPr>
      </w:pPr>
      <w:r>
        <w:rPr>
          <w:rFonts w:eastAsia="Times New Roman"/>
          <w:color w:val="323232"/>
          <w:shd w:val="clear" w:color="auto" w:fill="FFFFFF"/>
        </w:rPr>
        <w:t xml:space="preserve">        </w:t>
      </w:r>
      <w:proofErr w:type="spellStart"/>
      <w:r w:rsidR="00A75CA7">
        <w:rPr>
          <w:rFonts w:eastAsia="Times New Roman"/>
          <w:color w:val="323232"/>
          <w:shd w:val="clear" w:color="auto" w:fill="FFFFFF"/>
        </w:rPr>
        <w:t>Hochschulforschung</w:t>
      </w:r>
      <w:proofErr w:type="spellEnd"/>
      <w:r w:rsidR="00A75CA7">
        <w:rPr>
          <w:rFonts w:eastAsia="Times New Roman"/>
          <w:color w:val="323232"/>
          <w:shd w:val="clear" w:color="auto" w:fill="FFFFFF"/>
        </w:rPr>
        <w:t>, Univ.</w:t>
      </w:r>
    </w:p>
    <w:p w14:paraId="5A29141E" w14:textId="54E1F1C0" w:rsidR="00E32724" w:rsidRDefault="000C6364" w:rsidP="00642502">
      <w:pPr>
        <w:jc w:val="both"/>
        <w:rPr>
          <w:rFonts w:eastAsia="Times New Roman"/>
          <w:color w:val="333333"/>
          <w:shd w:val="clear" w:color="auto" w:fill="FFFFFF"/>
        </w:rPr>
      </w:pPr>
      <w:r>
        <w:rPr>
          <w:rFonts w:eastAsia="Times New Roman"/>
          <w:i/>
          <w:iCs/>
          <w:color w:val="333333"/>
        </w:rPr>
        <w:t>Bologna with student eyes</w:t>
      </w:r>
      <w:r>
        <w:rPr>
          <w:rFonts w:eastAsia="Times New Roman"/>
          <w:color w:val="333333"/>
          <w:shd w:val="clear" w:color="auto" w:fill="FFFFFF"/>
        </w:rPr>
        <w:t>. (2005). Bergen: ESIB.</w:t>
      </w:r>
    </w:p>
    <w:p w14:paraId="09CE417D" w14:textId="77777777" w:rsidR="00E32724" w:rsidRDefault="00E32724" w:rsidP="0024320D">
      <w:pPr>
        <w:jc w:val="both"/>
        <w:outlineLvl w:val="0"/>
        <w:rPr>
          <w:rFonts w:eastAsia="Times New Roman"/>
          <w:color w:val="333333"/>
          <w:shd w:val="clear" w:color="auto" w:fill="FFFFFF"/>
        </w:rPr>
      </w:pPr>
      <w:r>
        <w:rPr>
          <w:rFonts w:eastAsia="Times New Roman"/>
          <w:color w:val="333333"/>
          <w:shd w:val="clear" w:color="auto" w:fill="FFFFFF"/>
        </w:rPr>
        <w:t>Bologna. (</w:t>
      </w:r>
      <w:proofErr w:type="spellStart"/>
      <w:r>
        <w:rPr>
          <w:rFonts w:eastAsia="Times New Roman"/>
          <w:color w:val="333333"/>
          <w:shd w:val="clear" w:color="auto" w:fill="FFFFFF"/>
        </w:rPr>
        <w:t>n.d.</w:t>
      </w:r>
      <w:proofErr w:type="spellEnd"/>
      <w:r>
        <w:rPr>
          <w:rFonts w:eastAsia="Times New Roman"/>
          <w:color w:val="333333"/>
          <w:shd w:val="clear" w:color="auto" w:fill="FFFFFF"/>
        </w:rPr>
        <w:t xml:space="preserve">). Ministerial Conference Berlin 2003. Retrieved from </w:t>
      </w:r>
    </w:p>
    <w:p w14:paraId="7E0D31BF" w14:textId="7B042FE2" w:rsidR="00AB6586" w:rsidRDefault="00E32724" w:rsidP="00642502">
      <w:pPr>
        <w:jc w:val="both"/>
        <w:rPr>
          <w:rFonts w:eastAsia="Times New Roman"/>
          <w:color w:val="333333"/>
          <w:shd w:val="clear" w:color="auto" w:fill="FFFFFF"/>
        </w:rPr>
      </w:pPr>
      <w:r>
        <w:rPr>
          <w:rFonts w:eastAsia="Times New Roman"/>
          <w:color w:val="333333"/>
          <w:shd w:val="clear" w:color="auto" w:fill="FFFFFF"/>
        </w:rPr>
        <w:t xml:space="preserve">          </w:t>
      </w:r>
      <w:hyperlink r:id="rId8" w:history="1">
        <w:r w:rsidR="00AB6586" w:rsidRPr="001B4577">
          <w:rPr>
            <w:rStyle w:val="Hyperlink"/>
            <w:rFonts w:eastAsia="Times New Roman"/>
            <w:shd w:val="clear" w:color="auto" w:fill="FFFFFF"/>
          </w:rPr>
          <w:t>http://www.ehea.info/cid100938/ministerial-conference-berlin-2003.html</w:t>
        </w:r>
      </w:hyperlink>
    </w:p>
    <w:p w14:paraId="0FD429C6" w14:textId="77777777" w:rsidR="00AB6586" w:rsidRDefault="00AB6586" w:rsidP="0024320D">
      <w:pPr>
        <w:jc w:val="both"/>
        <w:outlineLvl w:val="0"/>
        <w:rPr>
          <w:rFonts w:eastAsia="Times New Roman"/>
          <w:color w:val="333333"/>
          <w:shd w:val="clear" w:color="auto" w:fill="FFFFFF"/>
        </w:rPr>
      </w:pPr>
      <w:r w:rsidRPr="0024320D">
        <w:rPr>
          <w:rFonts w:eastAsia="Times New Roman"/>
          <w:color w:val="333333"/>
          <w:shd w:val="clear" w:color="auto" w:fill="FFFFFF"/>
          <w:lang w:val="pt-BR"/>
        </w:rPr>
        <w:t>Bologna. (</w:t>
      </w:r>
      <w:proofErr w:type="spellStart"/>
      <w:proofErr w:type="gramStart"/>
      <w:r w:rsidRPr="0024320D">
        <w:rPr>
          <w:rFonts w:eastAsia="Times New Roman"/>
          <w:color w:val="333333"/>
          <w:shd w:val="clear" w:color="auto" w:fill="FFFFFF"/>
          <w:lang w:val="pt-BR"/>
        </w:rPr>
        <w:t>n.d</w:t>
      </w:r>
      <w:proofErr w:type="spellEnd"/>
      <w:r w:rsidRPr="0024320D">
        <w:rPr>
          <w:rFonts w:eastAsia="Times New Roman"/>
          <w:color w:val="333333"/>
          <w:shd w:val="clear" w:color="auto" w:fill="FFFFFF"/>
          <w:lang w:val="pt-BR"/>
        </w:rPr>
        <w:t>.</w:t>
      </w:r>
      <w:proofErr w:type="gramEnd"/>
      <w:r w:rsidRPr="0024320D">
        <w:rPr>
          <w:rFonts w:eastAsia="Times New Roman"/>
          <w:color w:val="333333"/>
          <w:shd w:val="clear" w:color="auto" w:fill="FFFFFF"/>
          <w:lang w:val="pt-BR"/>
        </w:rPr>
        <w:t xml:space="preserve">). Ministerial </w:t>
      </w:r>
      <w:proofErr w:type="spellStart"/>
      <w:r w:rsidRPr="0024320D">
        <w:rPr>
          <w:rFonts w:eastAsia="Times New Roman"/>
          <w:color w:val="333333"/>
          <w:shd w:val="clear" w:color="auto" w:fill="FFFFFF"/>
          <w:lang w:val="pt-BR"/>
        </w:rPr>
        <w:t>Conference</w:t>
      </w:r>
      <w:proofErr w:type="spellEnd"/>
      <w:r w:rsidRPr="0024320D">
        <w:rPr>
          <w:rFonts w:eastAsia="Times New Roman"/>
          <w:color w:val="333333"/>
          <w:shd w:val="clear" w:color="auto" w:fill="FFFFFF"/>
          <w:lang w:val="pt-BR"/>
        </w:rPr>
        <w:t xml:space="preserve"> Yerevan 2015. </w:t>
      </w:r>
      <w:r>
        <w:rPr>
          <w:rFonts w:eastAsia="Times New Roman"/>
          <w:color w:val="333333"/>
          <w:shd w:val="clear" w:color="auto" w:fill="FFFFFF"/>
        </w:rPr>
        <w:t xml:space="preserve">Retrieved from     </w:t>
      </w:r>
    </w:p>
    <w:p w14:paraId="3A30948F" w14:textId="6AADE8D6" w:rsidR="00E80804" w:rsidRDefault="00AB6586" w:rsidP="00642502">
      <w:pPr>
        <w:jc w:val="both"/>
        <w:rPr>
          <w:rFonts w:eastAsia="Times New Roman"/>
          <w:color w:val="333333"/>
          <w:shd w:val="clear" w:color="auto" w:fill="FFFFFF"/>
        </w:rPr>
      </w:pPr>
      <w:r>
        <w:rPr>
          <w:rFonts w:eastAsia="Times New Roman"/>
          <w:color w:val="333333"/>
          <w:shd w:val="clear" w:color="auto" w:fill="FFFFFF"/>
        </w:rPr>
        <w:t xml:space="preserve">         </w:t>
      </w:r>
      <w:hyperlink r:id="rId9" w:history="1">
        <w:r w:rsidRPr="001B4577">
          <w:rPr>
            <w:rStyle w:val="Hyperlink"/>
            <w:rFonts w:eastAsia="Times New Roman"/>
            <w:shd w:val="clear" w:color="auto" w:fill="FFFFFF"/>
          </w:rPr>
          <w:t>http://www.ehea.info/cid101764/ministerial-conference-yerevan-2015.html</w:t>
        </w:r>
      </w:hyperlink>
    </w:p>
    <w:p w14:paraId="14AC2FEF" w14:textId="77777777" w:rsidR="003B11A6" w:rsidRDefault="003B11A6" w:rsidP="00642502">
      <w:pPr>
        <w:jc w:val="both"/>
        <w:rPr>
          <w:rFonts w:eastAsia="Times New Roman"/>
          <w:i/>
          <w:iCs/>
          <w:color w:val="333333"/>
        </w:rPr>
      </w:pPr>
      <w:r>
        <w:rPr>
          <w:rFonts w:eastAsia="Times New Roman"/>
          <w:color w:val="333333"/>
          <w:shd w:val="clear" w:color="auto" w:fill="FFFFFF"/>
        </w:rPr>
        <w:t>Creswell, J. W. (2012</w:t>
      </w:r>
      <w:r w:rsidR="00E80804">
        <w:rPr>
          <w:rFonts w:eastAsia="Times New Roman"/>
          <w:color w:val="333333"/>
          <w:shd w:val="clear" w:color="auto" w:fill="FFFFFF"/>
        </w:rPr>
        <w:t>). </w:t>
      </w:r>
      <w:r w:rsidR="00E80804">
        <w:rPr>
          <w:rFonts w:eastAsia="Times New Roman"/>
          <w:i/>
          <w:iCs/>
          <w:color w:val="333333"/>
        </w:rPr>
        <w:t xml:space="preserve">Educational Research: Planning, Conducting, and Evaluating </w:t>
      </w:r>
    </w:p>
    <w:p w14:paraId="5DE28FDD" w14:textId="61781D09" w:rsidR="005110F9" w:rsidRPr="00E57E4B" w:rsidRDefault="003B11A6" w:rsidP="00642502">
      <w:pPr>
        <w:jc w:val="both"/>
        <w:rPr>
          <w:rFonts w:eastAsia="Times New Roman"/>
        </w:rPr>
      </w:pPr>
      <w:r>
        <w:rPr>
          <w:rFonts w:eastAsia="Times New Roman"/>
          <w:i/>
          <w:iCs/>
          <w:color w:val="333333"/>
        </w:rPr>
        <w:t xml:space="preserve">          </w:t>
      </w:r>
      <w:r w:rsidR="00E80804">
        <w:rPr>
          <w:rFonts w:eastAsia="Times New Roman"/>
          <w:i/>
          <w:iCs/>
          <w:color w:val="333333"/>
        </w:rPr>
        <w:t>Quantitative and Qualitative Research</w:t>
      </w:r>
      <w:r w:rsidR="00F95252">
        <w:rPr>
          <w:rFonts w:eastAsia="Times New Roman"/>
          <w:i/>
          <w:iCs/>
          <w:color w:val="333333"/>
        </w:rPr>
        <w:t xml:space="preserve"> </w:t>
      </w:r>
      <w:r w:rsidR="00E80804">
        <w:rPr>
          <w:rFonts w:eastAsia="Times New Roman"/>
          <w:color w:val="333333"/>
          <w:shd w:val="clear" w:color="auto" w:fill="FFFFFF"/>
        </w:rPr>
        <w:t>(4th ed.). Boston: Pearson.</w:t>
      </w:r>
    </w:p>
    <w:p w14:paraId="0502C326" w14:textId="77777777" w:rsidR="005110F9" w:rsidRDefault="005110F9" w:rsidP="00642502">
      <w:pPr>
        <w:jc w:val="both"/>
        <w:rPr>
          <w:rFonts w:eastAsia="Times New Roman"/>
          <w:i/>
          <w:iCs/>
          <w:color w:val="333333"/>
        </w:rPr>
      </w:pPr>
      <w:r>
        <w:rPr>
          <w:rFonts w:eastAsia="Times New Roman"/>
          <w:color w:val="333333"/>
          <w:shd w:val="clear" w:color="auto" w:fill="FFFFFF"/>
        </w:rPr>
        <w:t xml:space="preserve">Crosier, D., &amp; </w:t>
      </w:r>
      <w:proofErr w:type="spellStart"/>
      <w:r>
        <w:rPr>
          <w:rFonts w:eastAsia="Times New Roman"/>
          <w:color w:val="333333"/>
          <w:shd w:val="clear" w:color="auto" w:fill="FFFFFF"/>
        </w:rPr>
        <w:t>Parveva</w:t>
      </w:r>
      <w:proofErr w:type="spellEnd"/>
      <w:r>
        <w:rPr>
          <w:rFonts w:eastAsia="Times New Roman"/>
          <w:color w:val="333333"/>
          <w:shd w:val="clear" w:color="auto" w:fill="FFFFFF"/>
        </w:rPr>
        <w:t>, T. (2013). </w:t>
      </w:r>
      <w:r>
        <w:rPr>
          <w:rFonts w:eastAsia="Times New Roman"/>
          <w:i/>
          <w:iCs/>
          <w:color w:val="333333"/>
        </w:rPr>
        <w:t xml:space="preserve">The Bologna process: Its impact on higher education     </w:t>
      </w:r>
    </w:p>
    <w:p w14:paraId="77AADAD7" w14:textId="26FDAD74" w:rsidR="005110F9" w:rsidRDefault="00F95252" w:rsidP="00642502">
      <w:pPr>
        <w:jc w:val="both"/>
        <w:rPr>
          <w:rFonts w:eastAsia="Times New Roman"/>
          <w:color w:val="333333"/>
          <w:shd w:val="clear" w:color="auto" w:fill="FFFFFF"/>
        </w:rPr>
      </w:pPr>
      <w:r>
        <w:rPr>
          <w:rFonts w:eastAsia="Times New Roman"/>
          <w:i/>
          <w:iCs/>
          <w:color w:val="333333"/>
        </w:rPr>
        <w:t xml:space="preserve">         development in E</w:t>
      </w:r>
      <w:r w:rsidR="005110F9">
        <w:rPr>
          <w:rFonts w:eastAsia="Times New Roman"/>
          <w:i/>
          <w:iCs/>
          <w:color w:val="333333"/>
        </w:rPr>
        <w:t>urope and beyond</w:t>
      </w:r>
      <w:r>
        <w:rPr>
          <w:rFonts w:eastAsia="Times New Roman"/>
          <w:color w:val="333333"/>
          <w:shd w:val="clear" w:color="auto" w:fill="FFFFFF"/>
        </w:rPr>
        <w:t xml:space="preserve">. Paris: UNESCO: </w:t>
      </w:r>
      <w:r w:rsidR="005110F9">
        <w:rPr>
          <w:rFonts w:eastAsia="Times New Roman"/>
          <w:color w:val="333333"/>
          <w:shd w:val="clear" w:color="auto" w:fill="FFFFFF"/>
        </w:rPr>
        <w:t xml:space="preserve">International Institute for Education </w:t>
      </w:r>
    </w:p>
    <w:p w14:paraId="32442FAE" w14:textId="65B09B36" w:rsidR="000C6364" w:rsidRDefault="005110F9" w:rsidP="00642502">
      <w:pPr>
        <w:jc w:val="both"/>
        <w:rPr>
          <w:rFonts w:eastAsia="Times New Roman"/>
          <w:color w:val="333333"/>
          <w:shd w:val="clear" w:color="auto" w:fill="FFFFFF"/>
        </w:rPr>
      </w:pPr>
      <w:r>
        <w:rPr>
          <w:rFonts w:eastAsia="Times New Roman"/>
          <w:color w:val="333333"/>
          <w:shd w:val="clear" w:color="auto" w:fill="FFFFFF"/>
        </w:rPr>
        <w:t xml:space="preserve">         Planning.</w:t>
      </w:r>
    </w:p>
    <w:p w14:paraId="0FF120A0" w14:textId="6AD8D962" w:rsidR="009B6849" w:rsidRDefault="009B6849" w:rsidP="00642502">
      <w:pPr>
        <w:jc w:val="both"/>
        <w:rPr>
          <w:rFonts w:eastAsia="Times New Roman"/>
        </w:rPr>
      </w:pPr>
      <w:r>
        <w:rPr>
          <w:rFonts w:eastAsia="Times New Roman"/>
          <w:i/>
          <w:iCs/>
          <w:color w:val="333333"/>
        </w:rPr>
        <w:t>ECTS users guide 2015</w:t>
      </w:r>
      <w:r>
        <w:rPr>
          <w:rFonts w:eastAsia="Times New Roman"/>
          <w:color w:val="333333"/>
          <w:shd w:val="clear" w:color="auto" w:fill="FFFFFF"/>
        </w:rPr>
        <w:t>. (2015). Luxembourg: Publications Office of the European Union.</w:t>
      </w:r>
    </w:p>
    <w:p w14:paraId="44BE34B3" w14:textId="77777777" w:rsidR="00F77733" w:rsidRDefault="00F77733" w:rsidP="00642502">
      <w:pPr>
        <w:widowControl w:val="0"/>
        <w:autoSpaceDE w:val="0"/>
        <w:autoSpaceDN w:val="0"/>
        <w:adjustRightInd w:val="0"/>
        <w:spacing w:after="240"/>
        <w:contextualSpacing/>
        <w:jc w:val="both"/>
        <w:rPr>
          <w:i/>
          <w:iCs/>
        </w:rPr>
      </w:pPr>
      <w:r w:rsidRPr="00F77733">
        <w:t xml:space="preserve">European Commission/EACEA/Eurydice, 2018. </w:t>
      </w:r>
      <w:r w:rsidRPr="00F77733">
        <w:rPr>
          <w:i/>
          <w:iCs/>
        </w:rPr>
        <w:t xml:space="preserve">The European Higher Education Area in 2018: </w:t>
      </w:r>
      <w:r>
        <w:rPr>
          <w:i/>
          <w:iCs/>
        </w:rPr>
        <w:t xml:space="preserve">   </w:t>
      </w:r>
    </w:p>
    <w:p w14:paraId="4FF8A240" w14:textId="63582EFA" w:rsidR="00F77733" w:rsidRDefault="00F77733" w:rsidP="00642502">
      <w:pPr>
        <w:widowControl w:val="0"/>
        <w:autoSpaceDE w:val="0"/>
        <w:autoSpaceDN w:val="0"/>
        <w:adjustRightInd w:val="0"/>
        <w:spacing w:after="240"/>
        <w:contextualSpacing/>
        <w:jc w:val="both"/>
      </w:pPr>
      <w:r>
        <w:rPr>
          <w:i/>
          <w:iCs/>
        </w:rPr>
        <w:t xml:space="preserve">        </w:t>
      </w:r>
      <w:r w:rsidRPr="00F77733">
        <w:rPr>
          <w:i/>
          <w:iCs/>
        </w:rPr>
        <w:t xml:space="preserve">Bologna Process Implementation Report. </w:t>
      </w:r>
      <w:r w:rsidRPr="00F77733">
        <w:t xml:space="preserve">Luxembourg: Publications Office of the European </w:t>
      </w:r>
    </w:p>
    <w:p w14:paraId="7E6427CF" w14:textId="433F4EFE" w:rsidR="00F77733" w:rsidRPr="00E57E4B" w:rsidRDefault="00F77733" w:rsidP="00642502">
      <w:pPr>
        <w:contextualSpacing/>
        <w:jc w:val="both"/>
        <w:rPr>
          <w:rFonts w:eastAsia="Times New Roman"/>
        </w:rPr>
      </w:pPr>
      <w:r>
        <w:t xml:space="preserve">        </w:t>
      </w:r>
      <w:r w:rsidRPr="00F77733">
        <w:t>Union.</w:t>
      </w:r>
    </w:p>
    <w:p w14:paraId="4573298F" w14:textId="77777777" w:rsidR="00AB767F" w:rsidRDefault="00AB767F" w:rsidP="00642502">
      <w:pPr>
        <w:jc w:val="both"/>
        <w:rPr>
          <w:rFonts w:eastAsia="Times New Roman"/>
          <w:i/>
          <w:iCs/>
          <w:color w:val="333333"/>
        </w:rPr>
      </w:pPr>
      <w:r>
        <w:rPr>
          <w:rFonts w:eastAsia="Times New Roman"/>
          <w:color w:val="333333"/>
          <w:shd w:val="clear" w:color="auto" w:fill="FFFFFF"/>
        </w:rPr>
        <w:t xml:space="preserve">Huisman, J., </w:t>
      </w:r>
      <w:proofErr w:type="spellStart"/>
      <w:r>
        <w:rPr>
          <w:rFonts w:eastAsia="Times New Roman"/>
          <w:color w:val="333333"/>
          <w:shd w:val="clear" w:color="auto" w:fill="FFFFFF"/>
        </w:rPr>
        <w:t>Smolentseva</w:t>
      </w:r>
      <w:proofErr w:type="spellEnd"/>
      <w:r>
        <w:rPr>
          <w:rFonts w:eastAsia="Times New Roman"/>
          <w:color w:val="333333"/>
          <w:shd w:val="clear" w:color="auto" w:fill="FFFFFF"/>
        </w:rPr>
        <w:t xml:space="preserve">, A., &amp; </w:t>
      </w:r>
      <w:proofErr w:type="spellStart"/>
      <w:r>
        <w:rPr>
          <w:rFonts w:eastAsia="Times New Roman"/>
          <w:color w:val="333333"/>
          <w:shd w:val="clear" w:color="auto" w:fill="FFFFFF"/>
        </w:rPr>
        <w:t>Froumin</w:t>
      </w:r>
      <w:proofErr w:type="spellEnd"/>
      <w:r>
        <w:rPr>
          <w:rFonts w:eastAsia="Times New Roman"/>
          <w:color w:val="333333"/>
          <w:shd w:val="clear" w:color="auto" w:fill="FFFFFF"/>
        </w:rPr>
        <w:t>, I. (2018). </w:t>
      </w:r>
      <w:r>
        <w:rPr>
          <w:rFonts w:eastAsia="Times New Roman"/>
          <w:i/>
          <w:iCs/>
          <w:color w:val="333333"/>
        </w:rPr>
        <w:t xml:space="preserve">25 years of transformations of higher   </w:t>
      </w:r>
    </w:p>
    <w:p w14:paraId="252BB7E9" w14:textId="77777777" w:rsidR="009E08E3" w:rsidRDefault="00AB767F" w:rsidP="00642502">
      <w:pPr>
        <w:jc w:val="both"/>
        <w:rPr>
          <w:rFonts w:eastAsia="Times New Roman"/>
          <w:color w:val="333333"/>
          <w:shd w:val="clear" w:color="auto" w:fill="FFFFFF"/>
        </w:rPr>
      </w:pPr>
      <w:r>
        <w:rPr>
          <w:rFonts w:eastAsia="Times New Roman"/>
          <w:i/>
          <w:iCs/>
          <w:color w:val="333333"/>
        </w:rPr>
        <w:t xml:space="preserve">       education systems in post-soviet countries: Reform and continuity</w:t>
      </w:r>
      <w:r>
        <w:rPr>
          <w:rFonts w:eastAsia="Times New Roman"/>
          <w:color w:val="333333"/>
          <w:shd w:val="clear" w:color="auto" w:fill="FFFFFF"/>
        </w:rPr>
        <w:t xml:space="preserve">. Cham: Palgrave </w:t>
      </w:r>
      <w:r w:rsidR="009E08E3">
        <w:rPr>
          <w:rFonts w:eastAsia="Times New Roman"/>
          <w:color w:val="333333"/>
          <w:shd w:val="clear" w:color="auto" w:fill="FFFFFF"/>
        </w:rPr>
        <w:t xml:space="preserve"> </w:t>
      </w:r>
    </w:p>
    <w:p w14:paraId="497D2DEB" w14:textId="6EC64116" w:rsidR="00E134E1" w:rsidRDefault="009E08E3" w:rsidP="00642502">
      <w:pPr>
        <w:jc w:val="both"/>
        <w:rPr>
          <w:rFonts w:eastAsia="Times New Roman"/>
          <w:color w:val="333333"/>
          <w:shd w:val="clear" w:color="auto" w:fill="FFFFFF"/>
        </w:rPr>
      </w:pPr>
      <w:r>
        <w:rPr>
          <w:rFonts w:eastAsia="Times New Roman"/>
          <w:color w:val="333333"/>
          <w:shd w:val="clear" w:color="auto" w:fill="FFFFFF"/>
        </w:rPr>
        <w:t xml:space="preserve">       </w:t>
      </w:r>
      <w:r w:rsidR="00AB767F">
        <w:rPr>
          <w:rFonts w:eastAsia="Times New Roman"/>
          <w:color w:val="333333"/>
          <w:shd w:val="clear" w:color="auto" w:fill="FFFFFF"/>
        </w:rPr>
        <w:t>Macmillan.</w:t>
      </w:r>
    </w:p>
    <w:p w14:paraId="2E51BE64" w14:textId="15E7A9E0" w:rsidR="00A75609" w:rsidRDefault="00A75609" w:rsidP="00642502">
      <w:pPr>
        <w:jc w:val="both"/>
        <w:rPr>
          <w:rFonts w:eastAsia="Times New Roman"/>
          <w:color w:val="333333"/>
          <w:shd w:val="clear" w:color="auto" w:fill="FFFFFF"/>
        </w:rPr>
      </w:pPr>
      <w:r>
        <w:rPr>
          <w:rFonts w:eastAsia="Times New Roman"/>
          <w:color w:val="333333"/>
          <w:shd w:val="clear" w:color="auto" w:fill="FFFFFF"/>
        </w:rPr>
        <w:t>Law on educ</w:t>
      </w:r>
      <w:r w:rsidR="007D2708">
        <w:rPr>
          <w:rFonts w:eastAsia="Times New Roman"/>
          <w:color w:val="333333"/>
          <w:shd w:val="clear" w:color="auto" w:fill="FFFFFF"/>
        </w:rPr>
        <w:t>a</w:t>
      </w:r>
      <w:r>
        <w:rPr>
          <w:rFonts w:eastAsia="Times New Roman"/>
          <w:color w:val="333333"/>
          <w:shd w:val="clear" w:color="auto" w:fill="FFFFFF"/>
        </w:rPr>
        <w:t xml:space="preserve">tion of the Republic of Azerbaijan. (2009, September 5). Retrieved from </w:t>
      </w:r>
    </w:p>
    <w:p w14:paraId="5F7B41F1" w14:textId="736CB7A2" w:rsidR="00A75609" w:rsidRPr="00E57E4B" w:rsidRDefault="00A75609" w:rsidP="00642502">
      <w:pPr>
        <w:jc w:val="both"/>
        <w:rPr>
          <w:rFonts w:eastAsia="Times New Roman"/>
        </w:rPr>
      </w:pPr>
      <w:r>
        <w:rPr>
          <w:rFonts w:eastAsia="Times New Roman"/>
          <w:color w:val="333333"/>
          <w:shd w:val="clear" w:color="auto" w:fill="FFFFFF"/>
        </w:rPr>
        <w:lastRenderedPageBreak/>
        <w:t xml:space="preserve">        </w:t>
      </w:r>
      <w:hyperlink r:id="rId10" w:history="1">
        <w:r w:rsidRPr="00A76DFB">
          <w:rPr>
            <w:rStyle w:val="Hyperlink"/>
            <w:rFonts w:eastAsia="Times New Roman"/>
            <w:shd w:val="clear" w:color="auto" w:fill="FFFFFF"/>
          </w:rPr>
          <w:t>https://edu.gov.az/az/page/72/302</w:t>
        </w:r>
      </w:hyperlink>
      <w:r>
        <w:rPr>
          <w:rFonts w:eastAsia="Times New Roman"/>
          <w:color w:val="333333"/>
          <w:shd w:val="clear" w:color="auto" w:fill="FFFFFF"/>
        </w:rPr>
        <w:t xml:space="preserve"> </w:t>
      </w:r>
    </w:p>
    <w:p w14:paraId="69150E67" w14:textId="77777777" w:rsidR="00E134E1" w:rsidRDefault="006B3D63" w:rsidP="00642502">
      <w:pPr>
        <w:jc w:val="both"/>
        <w:rPr>
          <w:rFonts w:eastAsia="Times New Roman"/>
          <w:i/>
          <w:iCs/>
          <w:color w:val="333333"/>
        </w:rPr>
      </w:pPr>
      <w:proofErr w:type="spellStart"/>
      <w:r>
        <w:rPr>
          <w:rFonts w:eastAsia="Times New Roman"/>
          <w:color w:val="333333"/>
          <w:shd w:val="clear" w:color="auto" w:fill="FFFFFF"/>
        </w:rPr>
        <w:t>Lezhava</w:t>
      </w:r>
      <w:proofErr w:type="spellEnd"/>
      <w:r>
        <w:rPr>
          <w:rFonts w:eastAsia="Times New Roman"/>
          <w:color w:val="333333"/>
          <w:shd w:val="clear" w:color="auto" w:fill="FFFFFF"/>
        </w:rPr>
        <w:t>, D. (2016, July). </w:t>
      </w:r>
      <w:r>
        <w:rPr>
          <w:rFonts w:eastAsia="Times New Roman"/>
          <w:i/>
          <w:iCs/>
          <w:color w:val="333333"/>
        </w:rPr>
        <w:t xml:space="preserve">Bologna Process: Europeanization of Georgia’s Higher Education </w:t>
      </w:r>
    </w:p>
    <w:p w14:paraId="1E425002" w14:textId="77777777" w:rsidR="00F95252" w:rsidRDefault="00E134E1" w:rsidP="0024320D">
      <w:pPr>
        <w:jc w:val="both"/>
        <w:outlineLvl w:val="0"/>
        <w:rPr>
          <w:rFonts w:eastAsia="Times New Roman"/>
          <w:color w:val="333333"/>
          <w:shd w:val="clear" w:color="auto" w:fill="FFFFFF"/>
        </w:rPr>
      </w:pPr>
      <w:r>
        <w:rPr>
          <w:rFonts w:eastAsia="Times New Roman"/>
          <w:i/>
          <w:iCs/>
          <w:color w:val="333333"/>
        </w:rPr>
        <w:t xml:space="preserve">        </w:t>
      </w:r>
      <w:r w:rsidR="006B3D63">
        <w:rPr>
          <w:rFonts w:eastAsia="Times New Roman"/>
          <w:i/>
          <w:iCs/>
          <w:color w:val="333333"/>
        </w:rPr>
        <w:t>System</w:t>
      </w:r>
      <w:r w:rsidR="00F95252">
        <w:rPr>
          <w:rFonts w:eastAsia="Times New Roman"/>
          <w:i/>
          <w:iCs/>
          <w:color w:val="333333"/>
        </w:rPr>
        <w:t xml:space="preserve"> </w:t>
      </w:r>
      <w:r w:rsidR="006B3D63">
        <w:rPr>
          <w:rFonts w:eastAsia="Times New Roman"/>
          <w:color w:val="333333"/>
          <w:shd w:val="clear" w:color="auto" w:fill="FFFFFF"/>
        </w:rPr>
        <w:t>[Sch</w:t>
      </w:r>
      <w:r w:rsidR="00F95252">
        <w:rPr>
          <w:rFonts w:eastAsia="Times New Roman"/>
          <w:color w:val="333333"/>
          <w:shd w:val="clear" w:color="auto" w:fill="FFFFFF"/>
        </w:rPr>
        <w:t xml:space="preserve">olarly project]. Retrieved from    </w:t>
      </w:r>
    </w:p>
    <w:p w14:paraId="18AABB2E" w14:textId="1B33AF27" w:rsidR="00F95252" w:rsidRPr="00F95252" w:rsidRDefault="00F95252" w:rsidP="00642502">
      <w:pPr>
        <w:jc w:val="both"/>
        <w:rPr>
          <w:rFonts w:eastAsia="Times New Roman"/>
          <w:color w:val="333333"/>
          <w:shd w:val="clear" w:color="auto" w:fill="FFFFFF"/>
        </w:rPr>
      </w:pPr>
      <w:r>
        <w:rPr>
          <w:rFonts w:eastAsia="Times New Roman"/>
          <w:color w:val="333333"/>
          <w:shd w:val="clear" w:color="auto" w:fill="FFFFFF"/>
        </w:rPr>
        <w:t xml:space="preserve">        </w:t>
      </w:r>
      <w:hyperlink r:id="rId11" w:history="1">
        <w:r w:rsidRPr="00A76DFB">
          <w:rPr>
            <w:rStyle w:val="Hyperlink"/>
            <w:rFonts w:eastAsia="Times New Roman"/>
            <w:shd w:val="clear" w:color="auto" w:fill="FFFFFF"/>
          </w:rPr>
          <w:t>https://www.researchgate.net/publication/309667953</w:t>
        </w:r>
      </w:hyperlink>
      <w:r>
        <w:rPr>
          <w:rFonts w:eastAsia="Times New Roman"/>
          <w:color w:val="333333"/>
          <w:shd w:val="clear" w:color="auto" w:fill="FFFFFF"/>
        </w:rPr>
        <w:t xml:space="preserve"> </w:t>
      </w:r>
    </w:p>
    <w:p w14:paraId="0E8C222C" w14:textId="77777777" w:rsidR="00917723" w:rsidRDefault="00917723" w:rsidP="00642502">
      <w:pPr>
        <w:jc w:val="both"/>
        <w:rPr>
          <w:rFonts w:eastAsia="Times New Roman"/>
          <w:color w:val="333333"/>
          <w:shd w:val="clear" w:color="auto" w:fill="FFFFFF"/>
        </w:rPr>
      </w:pPr>
      <w:proofErr w:type="spellStart"/>
      <w:r>
        <w:rPr>
          <w:rFonts w:eastAsia="Times New Roman"/>
          <w:color w:val="333333"/>
          <w:shd w:val="clear" w:color="auto" w:fill="FFFFFF"/>
        </w:rPr>
        <w:t>Luchinskaya</w:t>
      </w:r>
      <w:proofErr w:type="spellEnd"/>
      <w:r>
        <w:rPr>
          <w:rFonts w:eastAsia="Times New Roman"/>
          <w:color w:val="333333"/>
          <w:shd w:val="clear" w:color="auto" w:fill="FFFFFF"/>
        </w:rPr>
        <w:t xml:space="preserve">, D., &amp; </w:t>
      </w:r>
      <w:proofErr w:type="spellStart"/>
      <w:r>
        <w:rPr>
          <w:rFonts w:eastAsia="Times New Roman"/>
          <w:color w:val="333333"/>
          <w:shd w:val="clear" w:color="auto" w:fill="FFFFFF"/>
        </w:rPr>
        <w:t>Ovchynnikova</w:t>
      </w:r>
      <w:proofErr w:type="spellEnd"/>
      <w:r>
        <w:rPr>
          <w:rFonts w:eastAsia="Times New Roman"/>
          <w:color w:val="333333"/>
          <w:shd w:val="clear" w:color="auto" w:fill="FFFFFF"/>
        </w:rPr>
        <w:t xml:space="preserve">, O. (2011). The Bologna Process Policy Implementation in </w:t>
      </w:r>
    </w:p>
    <w:p w14:paraId="604287B2" w14:textId="4AB2AB22" w:rsidR="00917723" w:rsidRDefault="00917723" w:rsidP="00642502">
      <w:pPr>
        <w:jc w:val="both"/>
        <w:rPr>
          <w:rFonts w:eastAsia="Times New Roman"/>
          <w:i/>
          <w:iCs/>
          <w:color w:val="333333"/>
        </w:rPr>
      </w:pPr>
      <w:r>
        <w:rPr>
          <w:rFonts w:eastAsia="Times New Roman"/>
          <w:color w:val="333333"/>
          <w:shd w:val="clear" w:color="auto" w:fill="FFFFFF"/>
        </w:rPr>
        <w:t xml:space="preserve">        Russia and Ukraine: Similarities and Differences. </w:t>
      </w:r>
      <w:r>
        <w:rPr>
          <w:rFonts w:eastAsia="Times New Roman"/>
          <w:i/>
          <w:iCs/>
          <w:color w:val="333333"/>
        </w:rPr>
        <w:t xml:space="preserve">European Educational Research </w:t>
      </w:r>
    </w:p>
    <w:p w14:paraId="35CB0FC3" w14:textId="45182790" w:rsidR="00917723" w:rsidRDefault="00917723" w:rsidP="0024320D">
      <w:pPr>
        <w:jc w:val="both"/>
        <w:outlineLvl w:val="0"/>
        <w:rPr>
          <w:rFonts w:eastAsia="Times New Roman"/>
          <w:color w:val="333333"/>
          <w:shd w:val="clear" w:color="auto" w:fill="FFFFFF"/>
        </w:rPr>
      </w:pPr>
      <w:r>
        <w:rPr>
          <w:rFonts w:eastAsia="Times New Roman"/>
          <w:i/>
          <w:iCs/>
          <w:color w:val="333333"/>
        </w:rPr>
        <w:t xml:space="preserve">       Journal,10</w:t>
      </w:r>
      <w:r>
        <w:rPr>
          <w:rFonts w:eastAsia="Times New Roman"/>
          <w:color w:val="333333"/>
          <w:shd w:val="clear" w:color="auto" w:fill="FFFFFF"/>
        </w:rPr>
        <w:t>(1), 21-33. doi:10.2304/eerj.2011.10.1.21</w:t>
      </w:r>
    </w:p>
    <w:p w14:paraId="7D586A73" w14:textId="2C19A33A" w:rsidR="009E296A" w:rsidRDefault="009E296A" w:rsidP="00642502">
      <w:pPr>
        <w:jc w:val="both"/>
        <w:rPr>
          <w:rFonts w:eastAsia="Times New Roman"/>
          <w:color w:val="333333"/>
          <w:shd w:val="clear" w:color="auto" w:fill="FFFFFF"/>
        </w:rPr>
      </w:pPr>
      <w:r>
        <w:rPr>
          <w:rFonts w:eastAsia="Times New Roman"/>
          <w:i/>
          <w:iCs/>
          <w:color w:val="333333"/>
        </w:rPr>
        <w:t>National Report regarding the Bologna Process implementation 2012-2015 Azerbaijan</w:t>
      </w:r>
      <w:r w:rsidR="00E57E4B">
        <w:rPr>
          <w:rFonts w:eastAsia="Times New Roman"/>
          <w:i/>
          <w:iCs/>
          <w:color w:val="333333"/>
        </w:rPr>
        <w:t xml:space="preserve"> </w:t>
      </w:r>
      <w:r>
        <w:rPr>
          <w:rFonts w:eastAsia="Times New Roman"/>
          <w:color w:val="333333"/>
          <w:shd w:val="clear" w:color="auto" w:fill="FFFFFF"/>
        </w:rPr>
        <w:t xml:space="preserve">(Rep.). </w:t>
      </w:r>
    </w:p>
    <w:p w14:paraId="30E7183F" w14:textId="2D08AD4C" w:rsidR="00E57E4B" w:rsidRPr="00E57E4B" w:rsidRDefault="009E296A" w:rsidP="00642502">
      <w:pPr>
        <w:jc w:val="both"/>
        <w:rPr>
          <w:rFonts w:eastAsia="Times New Roman"/>
        </w:rPr>
      </w:pPr>
      <w:r>
        <w:rPr>
          <w:rFonts w:eastAsia="Times New Roman"/>
          <w:color w:val="333333"/>
          <w:shd w:val="clear" w:color="auto" w:fill="FFFFFF"/>
        </w:rPr>
        <w:t xml:space="preserve">      (2015).</w:t>
      </w:r>
    </w:p>
    <w:p w14:paraId="6E97A822" w14:textId="77777777" w:rsidR="00E57E4B" w:rsidRDefault="00E57E4B" w:rsidP="00642502">
      <w:pPr>
        <w:jc w:val="both"/>
        <w:rPr>
          <w:rFonts w:eastAsia="Times New Roman"/>
          <w:color w:val="333333"/>
          <w:shd w:val="clear" w:color="auto" w:fill="FFFFFF"/>
        </w:rPr>
      </w:pPr>
      <w:r>
        <w:rPr>
          <w:rFonts w:eastAsia="Times New Roman"/>
          <w:i/>
          <w:iCs/>
          <w:color w:val="333333"/>
        </w:rPr>
        <w:t xml:space="preserve">National Report regarding the Bologna Process implementation 2009-2012 Azerbaijan </w:t>
      </w:r>
      <w:r>
        <w:rPr>
          <w:rFonts w:eastAsia="Times New Roman"/>
          <w:color w:val="333333"/>
          <w:shd w:val="clear" w:color="auto" w:fill="FFFFFF"/>
        </w:rPr>
        <w:t xml:space="preserve">(Rep.). </w:t>
      </w:r>
    </w:p>
    <w:p w14:paraId="7C535DCB" w14:textId="40ED16AC" w:rsidR="00A77686" w:rsidRPr="00E57E4B" w:rsidRDefault="00E57E4B" w:rsidP="00642502">
      <w:pPr>
        <w:jc w:val="both"/>
        <w:rPr>
          <w:rFonts w:eastAsia="Times New Roman"/>
        </w:rPr>
      </w:pPr>
      <w:r>
        <w:rPr>
          <w:rFonts w:eastAsia="Times New Roman"/>
          <w:color w:val="333333"/>
          <w:shd w:val="clear" w:color="auto" w:fill="FFFFFF"/>
        </w:rPr>
        <w:t xml:space="preserve">      (2012).</w:t>
      </w:r>
    </w:p>
    <w:p w14:paraId="125F0791" w14:textId="628BAB0F" w:rsidR="003A1E3C" w:rsidRDefault="00A77686" w:rsidP="00642502">
      <w:pPr>
        <w:jc w:val="both"/>
        <w:rPr>
          <w:rFonts w:eastAsia="Times New Roman"/>
          <w:color w:val="333333"/>
          <w:shd w:val="clear" w:color="auto" w:fill="FFFFFF"/>
        </w:rPr>
      </w:pPr>
      <w:r>
        <w:rPr>
          <w:rFonts w:eastAsia="Times New Roman"/>
          <w:color w:val="333333"/>
          <w:shd w:val="clear" w:color="auto" w:fill="FFFFFF"/>
        </w:rPr>
        <w:t>(</w:t>
      </w:r>
      <w:proofErr w:type="spellStart"/>
      <w:r>
        <w:rPr>
          <w:rFonts w:eastAsia="Times New Roman"/>
          <w:color w:val="333333"/>
          <w:shd w:val="clear" w:color="auto" w:fill="FFFFFF"/>
        </w:rPr>
        <w:t>n.d.</w:t>
      </w:r>
      <w:proofErr w:type="spellEnd"/>
      <w:r>
        <w:rPr>
          <w:rFonts w:eastAsia="Times New Roman"/>
          <w:color w:val="333333"/>
          <w:shd w:val="clear" w:color="auto" w:fill="FFFFFF"/>
        </w:rPr>
        <w:t xml:space="preserve">). Retrieved from </w:t>
      </w:r>
      <w:hyperlink r:id="rId12" w:history="1">
        <w:r w:rsidR="00AB6586" w:rsidRPr="001B4577">
          <w:rPr>
            <w:rStyle w:val="Hyperlink"/>
            <w:rFonts w:eastAsia="Times New Roman"/>
            <w:shd w:val="clear" w:color="auto" w:fill="FFFFFF"/>
          </w:rPr>
          <w:t>http://www.ehea.info/page-ministerial-conference-paris-2018</w:t>
        </w:r>
      </w:hyperlink>
      <w:r w:rsidR="00AB6586">
        <w:rPr>
          <w:rFonts w:eastAsia="Times New Roman"/>
          <w:color w:val="333333"/>
          <w:shd w:val="clear" w:color="auto" w:fill="FFFFFF"/>
        </w:rPr>
        <w:t xml:space="preserve"> </w:t>
      </w:r>
    </w:p>
    <w:p w14:paraId="2BF5A7A2" w14:textId="5600BAB1" w:rsidR="006332A9" w:rsidRDefault="006332A9" w:rsidP="00642502">
      <w:pPr>
        <w:jc w:val="both"/>
        <w:rPr>
          <w:rFonts w:eastAsia="Times New Roman"/>
          <w:color w:val="333333"/>
          <w:shd w:val="clear" w:color="auto" w:fill="FFFFFF"/>
        </w:rPr>
      </w:pPr>
      <w:proofErr w:type="spellStart"/>
      <w:r>
        <w:rPr>
          <w:rFonts w:eastAsia="Times New Roman"/>
          <w:color w:val="333333"/>
          <w:shd w:val="clear" w:color="auto" w:fill="FFFFFF"/>
        </w:rPr>
        <w:t>Sursock</w:t>
      </w:r>
      <w:proofErr w:type="spellEnd"/>
      <w:r>
        <w:rPr>
          <w:rFonts w:eastAsia="Times New Roman"/>
          <w:color w:val="333333"/>
          <w:shd w:val="clear" w:color="auto" w:fill="FFFFFF"/>
        </w:rPr>
        <w:t xml:space="preserve">, A., &amp; </w:t>
      </w:r>
      <w:proofErr w:type="spellStart"/>
      <w:r>
        <w:rPr>
          <w:rFonts w:eastAsia="Times New Roman"/>
          <w:color w:val="333333"/>
          <w:shd w:val="clear" w:color="auto" w:fill="FFFFFF"/>
        </w:rPr>
        <w:t>Smidt</w:t>
      </w:r>
      <w:proofErr w:type="spellEnd"/>
      <w:r>
        <w:rPr>
          <w:rFonts w:eastAsia="Times New Roman"/>
          <w:color w:val="333333"/>
          <w:shd w:val="clear" w:color="auto" w:fill="FFFFFF"/>
        </w:rPr>
        <w:t>, H. (2010). </w:t>
      </w:r>
      <w:r>
        <w:rPr>
          <w:rFonts w:eastAsia="Times New Roman"/>
          <w:i/>
          <w:iCs/>
          <w:color w:val="333333"/>
        </w:rPr>
        <w:t>A decade of change in European Higher Education</w:t>
      </w:r>
      <w:r w:rsidR="00105190">
        <w:rPr>
          <w:rFonts w:eastAsia="Times New Roman"/>
          <w:i/>
          <w:iCs/>
          <w:color w:val="333333"/>
        </w:rPr>
        <w:t xml:space="preserve"> </w:t>
      </w:r>
      <w:r>
        <w:rPr>
          <w:rFonts w:eastAsia="Times New Roman"/>
          <w:color w:val="333333"/>
          <w:shd w:val="clear" w:color="auto" w:fill="FFFFFF"/>
        </w:rPr>
        <w:t xml:space="preserve">(pp. 1-128, </w:t>
      </w:r>
    </w:p>
    <w:p w14:paraId="7749C9C4" w14:textId="232E51D7" w:rsidR="00E57E4B" w:rsidRDefault="006332A9" w:rsidP="00642502">
      <w:pPr>
        <w:jc w:val="both"/>
        <w:rPr>
          <w:rFonts w:eastAsia="Times New Roman"/>
          <w:color w:val="333333"/>
          <w:shd w:val="clear" w:color="auto" w:fill="FFFFFF"/>
        </w:rPr>
      </w:pPr>
      <w:r>
        <w:rPr>
          <w:rFonts w:eastAsia="Times New Roman"/>
          <w:color w:val="333333"/>
          <w:shd w:val="clear" w:color="auto" w:fill="FFFFFF"/>
        </w:rPr>
        <w:t xml:space="preserve">      Rep.).</w:t>
      </w:r>
    </w:p>
    <w:p w14:paraId="161B4793" w14:textId="77777777" w:rsidR="00413B1A" w:rsidRDefault="00413B1A" w:rsidP="00642502">
      <w:pPr>
        <w:jc w:val="both"/>
        <w:rPr>
          <w:rFonts w:eastAsia="Times New Roman"/>
          <w:color w:val="333333"/>
          <w:shd w:val="clear" w:color="auto" w:fill="FFFFFF"/>
        </w:rPr>
      </w:pPr>
      <w:r>
        <w:rPr>
          <w:rFonts w:eastAsia="Times New Roman"/>
          <w:i/>
          <w:iCs/>
          <w:color w:val="333333"/>
        </w:rPr>
        <w:t xml:space="preserve">The Bologna Process in Bulgaria, Romania, Moldova, Georgia, Ukraine and </w:t>
      </w:r>
      <w:proofErr w:type="gramStart"/>
      <w:r>
        <w:rPr>
          <w:rFonts w:eastAsia="Times New Roman"/>
          <w:i/>
          <w:iCs/>
          <w:color w:val="333333"/>
        </w:rPr>
        <w:t>Turkey</w:t>
      </w:r>
      <w:r>
        <w:rPr>
          <w:rFonts w:eastAsia="Times New Roman"/>
          <w:color w:val="333333"/>
          <w:shd w:val="clear" w:color="auto" w:fill="FFFFFF"/>
        </w:rPr>
        <w:t>(</w:t>
      </w:r>
      <w:proofErr w:type="gramEnd"/>
      <w:r>
        <w:rPr>
          <w:rFonts w:eastAsia="Times New Roman"/>
          <w:color w:val="333333"/>
          <w:shd w:val="clear" w:color="auto" w:fill="FFFFFF"/>
        </w:rPr>
        <w:t xml:space="preserve">pp. 1-31, </w:t>
      </w:r>
    </w:p>
    <w:p w14:paraId="26D71FD6" w14:textId="14E20A10" w:rsidR="00413B1A" w:rsidRDefault="00413B1A" w:rsidP="00642502">
      <w:pPr>
        <w:jc w:val="both"/>
        <w:rPr>
          <w:rFonts w:eastAsia="Times New Roman"/>
          <w:color w:val="333333"/>
          <w:shd w:val="clear" w:color="auto" w:fill="FFFFFF"/>
        </w:rPr>
      </w:pPr>
      <w:r>
        <w:rPr>
          <w:rFonts w:eastAsia="Times New Roman"/>
          <w:color w:val="333333"/>
          <w:shd w:val="clear" w:color="auto" w:fill="FFFFFF"/>
        </w:rPr>
        <w:t xml:space="preserve">     Rep.). (2014). Varna.</w:t>
      </w:r>
    </w:p>
    <w:p w14:paraId="121410D9" w14:textId="5AE0BECE" w:rsidR="00413B1A" w:rsidRDefault="00F0243F" w:rsidP="00642502">
      <w:pPr>
        <w:jc w:val="both"/>
        <w:rPr>
          <w:rFonts w:eastAsia="Times New Roman"/>
        </w:rPr>
      </w:pPr>
      <w:r>
        <w:rPr>
          <w:rFonts w:eastAsia="Times New Roman"/>
          <w:i/>
          <w:iCs/>
          <w:color w:val="333333"/>
        </w:rPr>
        <w:t>The European Higher Education Area: Achieving the goals</w:t>
      </w:r>
      <w:r>
        <w:rPr>
          <w:rFonts w:eastAsia="Times New Roman"/>
          <w:color w:val="333333"/>
          <w:shd w:val="clear" w:color="auto" w:fill="FFFFFF"/>
        </w:rPr>
        <w:t>. (2005). Bergen.</w:t>
      </w:r>
    </w:p>
    <w:p w14:paraId="6020EC9A" w14:textId="34F47CC8" w:rsidR="009E08E3" w:rsidRDefault="009E296A" w:rsidP="00642502">
      <w:pPr>
        <w:contextualSpacing/>
        <w:jc w:val="both"/>
        <w:rPr>
          <w:rFonts w:eastAsia="Times New Roman"/>
          <w:color w:val="333333"/>
          <w:shd w:val="clear" w:color="auto" w:fill="FFFFFF"/>
        </w:rPr>
      </w:pPr>
      <w:r>
        <w:rPr>
          <w:rFonts w:eastAsia="Times New Roman"/>
          <w:i/>
          <w:iCs/>
          <w:color w:val="333333"/>
        </w:rPr>
        <w:t>The</w:t>
      </w:r>
      <w:r w:rsidR="001E00E5" w:rsidRPr="001E00E5">
        <w:rPr>
          <w:rFonts w:eastAsia="Times New Roman"/>
          <w:i/>
          <w:iCs/>
          <w:color w:val="333333"/>
        </w:rPr>
        <w:t xml:space="preserve"> </w:t>
      </w:r>
      <w:r>
        <w:rPr>
          <w:rFonts w:eastAsia="Times New Roman"/>
          <w:i/>
          <w:iCs/>
          <w:color w:val="333333"/>
        </w:rPr>
        <w:t>Demographic and health survey, A</w:t>
      </w:r>
      <w:r w:rsidR="00F95252">
        <w:rPr>
          <w:rFonts w:eastAsia="Times New Roman"/>
          <w:i/>
          <w:iCs/>
          <w:color w:val="333333"/>
        </w:rPr>
        <w:t>z</w:t>
      </w:r>
      <w:r>
        <w:rPr>
          <w:rFonts w:eastAsia="Times New Roman"/>
          <w:i/>
          <w:iCs/>
          <w:color w:val="333333"/>
        </w:rPr>
        <w:t>erbaijan</w:t>
      </w:r>
      <w:r w:rsidR="001E00E5" w:rsidRPr="001E00E5">
        <w:rPr>
          <w:rFonts w:eastAsia="Times New Roman"/>
          <w:i/>
          <w:iCs/>
          <w:color w:val="333333"/>
        </w:rPr>
        <w:t>, 2011</w:t>
      </w:r>
      <w:r w:rsidR="001E00E5" w:rsidRPr="001E00E5">
        <w:rPr>
          <w:rFonts w:eastAsia="Times New Roman"/>
          <w:color w:val="333333"/>
          <w:shd w:val="clear" w:color="auto" w:fill="FFFFFF"/>
        </w:rPr>
        <w:t xml:space="preserve">(pp. 1-331, Rep.). (2013). </w:t>
      </w:r>
      <w:r w:rsidR="009E08E3">
        <w:rPr>
          <w:rFonts w:eastAsia="Times New Roman"/>
          <w:color w:val="333333"/>
          <w:shd w:val="clear" w:color="auto" w:fill="FFFFFF"/>
        </w:rPr>
        <w:t xml:space="preserve"> </w:t>
      </w:r>
    </w:p>
    <w:p w14:paraId="333476D6" w14:textId="43067474" w:rsidR="00DD58D3" w:rsidRPr="00E57E4B" w:rsidRDefault="009E08E3" w:rsidP="00642502">
      <w:pPr>
        <w:contextualSpacing/>
        <w:jc w:val="both"/>
        <w:rPr>
          <w:rFonts w:eastAsia="Times New Roman"/>
        </w:rPr>
      </w:pPr>
      <w:r>
        <w:rPr>
          <w:rFonts w:eastAsia="Times New Roman"/>
          <w:color w:val="333333"/>
          <w:shd w:val="clear" w:color="auto" w:fill="FFFFFF"/>
        </w:rPr>
        <w:t xml:space="preserve">        </w:t>
      </w:r>
      <w:r w:rsidR="001E00E5" w:rsidRPr="001E00E5">
        <w:rPr>
          <w:rFonts w:eastAsia="Times New Roman"/>
          <w:color w:val="333333"/>
          <w:shd w:val="clear" w:color="auto" w:fill="FFFFFF"/>
        </w:rPr>
        <w:t>Baku.</w:t>
      </w:r>
    </w:p>
    <w:p w14:paraId="33FBC7C0" w14:textId="77777777" w:rsidR="001544F2" w:rsidRDefault="001544F2" w:rsidP="00642502">
      <w:pPr>
        <w:jc w:val="both"/>
        <w:rPr>
          <w:rFonts w:eastAsia="Times New Roman"/>
          <w:i/>
          <w:iCs/>
          <w:color w:val="333333"/>
        </w:rPr>
      </w:pPr>
      <w:proofErr w:type="spellStart"/>
      <w:r>
        <w:rPr>
          <w:rFonts w:eastAsia="Times New Roman"/>
          <w:color w:val="333333"/>
          <w:shd w:val="clear" w:color="auto" w:fill="FFFFFF"/>
        </w:rPr>
        <w:t>Yağci</w:t>
      </w:r>
      <w:proofErr w:type="spellEnd"/>
      <w:r>
        <w:rPr>
          <w:rFonts w:eastAsia="Times New Roman"/>
          <w:color w:val="333333"/>
          <w:shd w:val="clear" w:color="auto" w:fill="FFFFFF"/>
        </w:rPr>
        <w:t>, Y. (2010). A Different View of the Bologna Process: The case of Turkey. </w:t>
      </w:r>
      <w:r>
        <w:rPr>
          <w:rFonts w:eastAsia="Times New Roman"/>
          <w:i/>
          <w:iCs/>
          <w:color w:val="333333"/>
        </w:rPr>
        <w:t xml:space="preserve">European </w:t>
      </w:r>
    </w:p>
    <w:p w14:paraId="451AE624" w14:textId="4E2C65EE" w:rsidR="001544F2" w:rsidRDefault="001544F2" w:rsidP="00642502">
      <w:pPr>
        <w:jc w:val="both"/>
        <w:rPr>
          <w:rFonts w:eastAsia="Times New Roman"/>
          <w:color w:val="333333"/>
          <w:shd w:val="clear" w:color="auto" w:fill="FFFFFF"/>
        </w:rPr>
      </w:pPr>
      <w:r>
        <w:rPr>
          <w:rFonts w:eastAsia="Times New Roman"/>
          <w:i/>
          <w:iCs/>
          <w:color w:val="333333"/>
        </w:rPr>
        <w:t xml:space="preserve">        Journal of Education,45</w:t>
      </w:r>
      <w:r>
        <w:rPr>
          <w:rFonts w:eastAsia="Times New Roman"/>
          <w:color w:val="333333"/>
          <w:shd w:val="clear" w:color="auto" w:fill="FFFFFF"/>
        </w:rPr>
        <w:t>(4), 588-600. doi:10.1111/j.1465-3435.</w:t>
      </w:r>
      <w:proofErr w:type="gramStart"/>
      <w:r>
        <w:rPr>
          <w:rFonts w:eastAsia="Times New Roman"/>
          <w:color w:val="333333"/>
          <w:shd w:val="clear" w:color="auto" w:fill="FFFFFF"/>
        </w:rPr>
        <w:t>2010.01456.x</w:t>
      </w:r>
      <w:proofErr w:type="gramEnd"/>
    </w:p>
    <w:p w14:paraId="5459F4DF" w14:textId="77777777" w:rsidR="005110F9" w:rsidRDefault="005110F9" w:rsidP="00642502">
      <w:pPr>
        <w:jc w:val="both"/>
        <w:rPr>
          <w:rFonts w:eastAsia="Times New Roman"/>
          <w:color w:val="333333"/>
          <w:shd w:val="clear" w:color="auto" w:fill="FFFFFF"/>
        </w:rPr>
      </w:pPr>
    </w:p>
    <w:p w14:paraId="6C7FA1AB" w14:textId="4213B078" w:rsidR="00F77733" w:rsidRDefault="00F77733" w:rsidP="00642502">
      <w:pPr>
        <w:widowControl w:val="0"/>
        <w:autoSpaceDE w:val="0"/>
        <w:autoSpaceDN w:val="0"/>
        <w:adjustRightInd w:val="0"/>
        <w:spacing w:after="240"/>
        <w:contextualSpacing/>
        <w:jc w:val="both"/>
      </w:pPr>
      <w:r w:rsidRPr="00F77733">
        <w:t xml:space="preserve"> </w:t>
      </w:r>
    </w:p>
    <w:p w14:paraId="3712F68F" w14:textId="77777777" w:rsidR="000236F5" w:rsidRDefault="000236F5" w:rsidP="00642502">
      <w:pPr>
        <w:widowControl w:val="0"/>
        <w:autoSpaceDE w:val="0"/>
        <w:autoSpaceDN w:val="0"/>
        <w:adjustRightInd w:val="0"/>
        <w:spacing w:after="240"/>
        <w:contextualSpacing/>
        <w:jc w:val="both"/>
      </w:pPr>
    </w:p>
    <w:p w14:paraId="6D8994ED" w14:textId="77777777" w:rsidR="000236F5" w:rsidRDefault="000236F5" w:rsidP="00642502">
      <w:pPr>
        <w:widowControl w:val="0"/>
        <w:autoSpaceDE w:val="0"/>
        <w:autoSpaceDN w:val="0"/>
        <w:adjustRightInd w:val="0"/>
        <w:spacing w:after="240"/>
        <w:contextualSpacing/>
        <w:jc w:val="both"/>
      </w:pPr>
    </w:p>
    <w:p w14:paraId="52234527" w14:textId="77777777" w:rsidR="000236F5" w:rsidRDefault="000236F5" w:rsidP="00642502">
      <w:pPr>
        <w:widowControl w:val="0"/>
        <w:autoSpaceDE w:val="0"/>
        <w:autoSpaceDN w:val="0"/>
        <w:adjustRightInd w:val="0"/>
        <w:spacing w:after="240"/>
        <w:contextualSpacing/>
        <w:jc w:val="both"/>
      </w:pPr>
    </w:p>
    <w:p w14:paraId="2E20C927" w14:textId="77777777" w:rsidR="000236F5" w:rsidRDefault="000236F5" w:rsidP="00642502">
      <w:pPr>
        <w:widowControl w:val="0"/>
        <w:autoSpaceDE w:val="0"/>
        <w:autoSpaceDN w:val="0"/>
        <w:adjustRightInd w:val="0"/>
        <w:spacing w:after="240"/>
        <w:contextualSpacing/>
        <w:jc w:val="both"/>
      </w:pPr>
    </w:p>
    <w:p w14:paraId="3AD1AACB" w14:textId="77777777" w:rsidR="000236F5" w:rsidRDefault="000236F5" w:rsidP="00642502">
      <w:pPr>
        <w:widowControl w:val="0"/>
        <w:autoSpaceDE w:val="0"/>
        <w:autoSpaceDN w:val="0"/>
        <w:adjustRightInd w:val="0"/>
        <w:spacing w:after="240"/>
        <w:contextualSpacing/>
        <w:jc w:val="both"/>
      </w:pPr>
    </w:p>
    <w:p w14:paraId="18920E7B" w14:textId="77777777" w:rsidR="000236F5" w:rsidRDefault="000236F5" w:rsidP="00642502">
      <w:pPr>
        <w:widowControl w:val="0"/>
        <w:autoSpaceDE w:val="0"/>
        <w:autoSpaceDN w:val="0"/>
        <w:adjustRightInd w:val="0"/>
        <w:spacing w:after="240"/>
        <w:contextualSpacing/>
        <w:jc w:val="both"/>
      </w:pPr>
    </w:p>
    <w:p w14:paraId="36424B44" w14:textId="77777777" w:rsidR="000236F5" w:rsidRDefault="000236F5" w:rsidP="00642502">
      <w:pPr>
        <w:widowControl w:val="0"/>
        <w:autoSpaceDE w:val="0"/>
        <w:autoSpaceDN w:val="0"/>
        <w:adjustRightInd w:val="0"/>
        <w:spacing w:after="240"/>
        <w:contextualSpacing/>
        <w:jc w:val="both"/>
      </w:pPr>
    </w:p>
    <w:p w14:paraId="284E4D97" w14:textId="77777777" w:rsidR="000236F5" w:rsidRDefault="000236F5" w:rsidP="00642502">
      <w:pPr>
        <w:widowControl w:val="0"/>
        <w:autoSpaceDE w:val="0"/>
        <w:autoSpaceDN w:val="0"/>
        <w:adjustRightInd w:val="0"/>
        <w:spacing w:after="240"/>
        <w:contextualSpacing/>
        <w:jc w:val="both"/>
      </w:pPr>
    </w:p>
    <w:p w14:paraId="5F03642F" w14:textId="77777777" w:rsidR="000236F5" w:rsidRDefault="000236F5" w:rsidP="00642502">
      <w:pPr>
        <w:widowControl w:val="0"/>
        <w:autoSpaceDE w:val="0"/>
        <w:autoSpaceDN w:val="0"/>
        <w:adjustRightInd w:val="0"/>
        <w:spacing w:after="240"/>
        <w:contextualSpacing/>
        <w:jc w:val="both"/>
      </w:pPr>
    </w:p>
    <w:p w14:paraId="2027401C" w14:textId="77777777" w:rsidR="000236F5" w:rsidRDefault="000236F5" w:rsidP="00642502">
      <w:pPr>
        <w:widowControl w:val="0"/>
        <w:autoSpaceDE w:val="0"/>
        <w:autoSpaceDN w:val="0"/>
        <w:adjustRightInd w:val="0"/>
        <w:spacing w:after="240"/>
        <w:contextualSpacing/>
        <w:jc w:val="both"/>
      </w:pPr>
    </w:p>
    <w:p w14:paraId="1CD32E44" w14:textId="77777777" w:rsidR="000236F5" w:rsidRDefault="000236F5" w:rsidP="00642502">
      <w:pPr>
        <w:widowControl w:val="0"/>
        <w:autoSpaceDE w:val="0"/>
        <w:autoSpaceDN w:val="0"/>
        <w:adjustRightInd w:val="0"/>
        <w:spacing w:after="240"/>
        <w:contextualSpacing/>
        <w:jc w:val="both"/>
      </w:pPr>
    </w:p>
    <w:p w14:paraId="6CA2B41A" w14:textId="77777777" w:rsidR="000236F5" w:rsidRDefault="000236F5" w:rsidP="00642502">
      <w:pPr>
        <w:widowControl w:val="0"/>
        <w:autoSpaceDE w:val="0"/>
        <w:autoSpaceDN w:val="0"/>
        <w:adjustRightInd w:val="0"/>
        <w:spacing w:after="240"/>
        <w:contextualSpacing/>
        <w:jc w:val="both"/>
      </w:pPr>
    </w:p>
    <w:p w14:paraId="38E43BA3" w14:textId="77777777" w:rsidR="000236F5" w:rsidRDefault="000236F5" w:rsidP="00642502">
      <w:pPr>
        <w:widowControl w:val="0"/>
        <w:autoSpaceDE w:val="0"/>
        <w:autoSpaceDN w:val="0"/>
        <w:adjustRightInd w:val="0"/>
        <w:spacing w:after="240"/>
        <w:contextualSpacing/>
        <w:jc w:val="both"/>
      </w:pPr>
    </w:p>
    <w:p w14:paraId="26D0AF2A" w14:textId="77777777" w:rsidR="000236F5" w:rsidRDefault="000236F5" w:rsidP="00642502">
      <w:pPr>
        <w:widowControl w:val="0"/>
        <w:autoSpaceDE w:val="0"/>
        <w:autoSpaceDN w:val="0"/>
        <w:adjustRightInd w:val="0"/>
        <w:spacing w:after="240"/>
        <w:contextualSpacing/>
        <w:jc w:val="both"/>
      </w:pPr>
    </w:p>
    <w:p w14:paraId="2EDC94A8" w14:textId="77777777" w:rsidR="000236F5" w:rsidRDefault="000236F5" w:rsidP="00642502">
      <w:pPr>
        <w:widowControl w:val="0"/>
        <w:autoSpaceDE w:val="0"/>
        <w:autoSpaceDN w:val="0"/>
        <w:adjustRightInd w:val="0"/>
        <w:spacing w:after="240"/>
        <w:contextualSpacing/>
        <w:jc w:val="both"/>
      </w:pPr>
    </w:p>
    <w:p w14:paraId="5F3FC5EC" w14:textId="77777777" w:rsidR="000236F5" w:rsidRDefault="000236F5" w:rsidP="00642502">
      <w:pPr>
        <w:widowControl w:val="0"/>
        <w:autoSpaceDE w:val="0"/>
        <w:autoSpaceDN w:val="0"/>
        <w:adjustRightInd w:val="0"/>
        <w:spacing w:after="240"/>
        <w:contextualSpacing/>
        <w:jc w:val="both"/>
      </w:pPr>
    </w:p>
    <w:p w14:paraId="2C98E738" w14:textId="77777777" w:rsidR="000236F5" w:rsidRDefault="000236F5" w:rsidP="00642502">
      <w:pPr>
        <w:widowControl w:val="0"/>
        <w:autoSpaceDE w:val="0"/>
        <w:autoSpaceDN w:val="0"/>
        <w:adjustRightInd w:val="0"/>
        <w:spacing w:after="240"/>
        <w:contextualSpacing/>
        <w:jc w:val="both"/>
      </w:pPr>
    </w:p>
    <w:p w14:paraId="00EB2C2F" w14:textId="77777777" w:rsidR="000236F5" w:rsidRDefault="000236F5" w:rsidP="00642502">
      <w:pPr>
        <w:widowControl w:val="0"/>
        <w:autoSpaceDE w:val="0"/>
        <w:autoSpaceDN w:val="0"/>
        <w:adjustRightInd w:val="0"/>
        <w:spacing w:after="240"/>
        <w:contextualSpacing/>
        <w:jc w:val="both"/>
      </w:pPr>
    </w:p>
    <w:p w14:paraId="590ABC92" w14:textId="77777777" w:rsidR="000236F5" w:rsidRDefault="000236F5" w:rsidP="00642502">
      <w:pPr>
        <w:widowControl w:val="0"/>
        <w:autoSpaceDE w:val="0"/>
        <w:autoSpaceDN w:val="0"/>
        <w:adjustRightInd w:val="0"/>
        <w:spacing w:after="240"/>
        <w:contextualSpacing/>
        <w:jc w:val="both"/>
      </w:pPr>
    </w:p>
    <w:p w14:paraId="0BF12168" w14:textId="77777777" w:rsidR="000236F5" w:rsidRDefault="000236F5" w:rsidP="00642502">
      <w:pPr>
        <w:widowControl w:val="0"/>
        <w:autoSpaceDE w:val="0"/>
        <w:autoSpaceDN w:val="0"/>
        <w:adjustRightInd w:val="0"/>
        <w:spacing w:after="240"/>
        <w:contextualSpacing/>
        <w:jc w:val="both"/>
      </w:pPr>
    </w:p>
    <w:p w14:paraId="3C9B5518" w14:textId="77777777" w:rsidR="000236F5" w:rsidRDefault="000236F5" w:rsidP="00642502">
      <w:pPr>
        <w:widowControl w:val="0"/>
        <w:autoSpaceDE w:val="0"/>
        <w:autoSpaceDN w:val="0"/>
        <w:adjustRightInd w:val="0"/>
        <w:spacing w:after="240"/>
        <w:contextualSpacing/>
        <w:jc w:val="both"/>
      </w:pPr>
    </w:p>
    <w:p w14:paraId="2E1C4A0B" w14:textId="77777777" w:rsidR="000236F5" w:rsidRDefault="000236F5" w:rsidP="00642502">
      <w:pPr>
        <w:widowControl w:val="0"/>
        <w:autoSpaceDE w:val="0"/>
        <w:autoSpaceDN w:val="0"/>
        <w:adjustRightInd w:val="0"/>
        <w:spacing w:after="240"/>
        <w:contextualSpacing/>
        <w:jc w:val="both"/>
      </w:pPr>
    </w:p>
    <w:p w14:paraId="0E51570C" w14:textId="77777777" w:rsidR="000236F5" w:rsidRDefault="000236F5" w:rsidP="00642502">
      <w:pPr>
        <w:widowControl w:val="0"/>
        <w:autoSpaceDE w:val="0"/>
        <w:autoSpaceDN w:val="0"/>
        <w:adjustRightInd w:val="0"/>
        <w:spacing w:after="240"/>
        <w:contextualSpacing/>
        <w:jc w:val="both"/>
      </w:pPr>
    </w:p>
    <w:p w14:paraId="61853309" w14:textId="77777777" w:rsidR="000236F5" w:rsidRDefault="000236F5" w:rsidP="00642502">
      <w:pPr>
        <w:widowControl w:val="0"/>
        <w:autoSpaceDE w:val="0"/>
        <w:autoSpaceDN w:val="0"/>
        <w:adjustRightInd w:val="0"/>
        <w:spacing w:after="240"/>
        <w:contextualSpacing/>
        <w:jc w:val="both"/>
      </w:pPr>
    </w:p>
    <w:p w14:paraId="4E03CBA4" w14:textId="77777777" w:rsidR="000236F5" w:rsidRDefault="000236F5" w:rsidP="00642502">
      <w:pPr>
        <w:widowControl w:val="0"/>
        <w:autoSpaceDE w:val="0"/>
        <w:autoSpaceDN w:val="0"/>
        <w:adjustRightInd w:val="0"/>
        <w:spacing w:after="240"/>
        <w:contextualSpacing/>
        <w:jc w:val="both"/>
      </w:pPr>
    </w:p>
    <w:p w14:paraId="02A83796" w14:textId="77777777" w:rsidR="000236F5" w:rsidRDefault="000236F5" w:rsidP="00642502">
      <w:pPr>
        <w:widowControl w:val="0"/>
        <w:autoSpaceDE w:val="0"/>
        <w:autoSpaceDN w:val="0"/>
        <w:adjustRightInd w:val="0"/>
        <w:spacing w:after="240"/>
        <w:contextualSpacing/>
        <w:jc w:val="both"/>
      </w:pPr>
    </w:p>
    <w:p w14:paraId="0A692347" w14:textId="77777777" w:rsidR="000236F5" w:rsidRDefault="000236F5" w:rsidP="00642502">
      <w:pPr>
        <w:widowControl w:val="0"/>
        <w:autoSpaceDE w:val="0"/>
        <w:autoSpaceDN w:val="0"/>
        <w:adjustRightInd w:val="0"/>
        <w:spacing w:after="240"/>
        <w:contextualSpacing/>
        <w:jc w:val="both"/>
      </w:pPr>
    </w:p>
    <w:p w14:paraId="7E7B0D98" w14:textId="77777777" w:rsidR="000236F5" w:rsidRDefault="000236F5" w:rsidP="00642502">
      <w:pPr>
        <w:widowControl w:val="0"/>
        <w:autoSpaceDE w:val="0"/>
        <w:autoSpaceDN w:val="0"/>
        <w:adjustRightInd w:val="0"/>
        <w:spacing w:after="240"/>
        <w:contextualSpacing/>
        <w:jc w:val="both"/>
      </w:pPr>
    </w:p>
    <w:p w14:paraId="51C576E5" w14:textId="77777777" w:rsidR="000236F5" w:rsidRDefault="000236F5" w:rsidP="00642502">
      <w:pPr>
        <w:widowControl w:val="0"/>
        <w:autoSpaceDE w:val="0"/>
        <w:autoSpaceDN w:val="0"/>
        <w:adjustRightInd w:val="0"/>
        <w:spacing w:after="240"/>
        <w:contextualSpacing/>
        <w:jc w:val="both"/>
      </w:pPr>
    </w:p>
    <w:p w14:paraId="1F6F1579" w14:textId="77777777" w:rsidR="000236F5" w:rsidRDefault="000236F5" w:rsidP="00642502">
      <w:pPr>
        <w:widowControl w:val="0"/>
        <w:autoSpaceDE w:val="0"/>
        <w:autoSpaceDN w:val="0"/>
        <w:adjustRightInd w:val="0"/>
        <w:spacing w:after="240"/>
        <w:contextualSpacing/>
        <w:jc w:val="both"/>
      </w:pPr>
    </w:p>
    <w:p w14:paraId="0397741D" w14:textId="77777777" w:rsidR="000236F5" w:rsidRDefault="000236F5" w:rsidP="00642502">
      <w:pPr>
        <w:widowControl w:val="0"/>
        <w:autoSpaceDE w:val="0"/>
        <w:autoSpaceDN w:val="0"/>
        <w:adjustRightInd w:val="0"/>
        <w:spacing w:after="240"/>
        <w:contextualSpacing/>
        <w:jc w:val="both"/>
      </w:pPr>
    </w:p>
    <w:p w14:paraId="644E3601" w14:textId="77777777" w:rsidR="000236F5" w:rsidRDefault="000236F5" w:rsidP="00642502">
      <w:pPr>
        <w:widowControl w:val="0"/>
        <w:autoSpaceDE w:val="0"/>
        <w:autoSpaceDN w:val="0"/>
        <w:adjustRightInd w:val="0"/>
        <w:spacing w:after="240"/>
        <w:contextualSpacing/>
        <w:jc w:val="both"/>
      </w:pPr>
    </w:p>
    <w:p w14:paraId="277AAA6B" w14:textId="77777777" w:rsidR="000236F5" w:rsidRDefault="000236F5" w:rsidP="00642502">
      <w:pPr>
        <w:widowControl w:val="0"/>
        <w:autoSpaceDE w:val="0"/>
        <w:autoSpaceDN w:val="0"/>
        <w:adjustRightInd w:val="0"/>
        <w:spacing w:after="240"/>
        <w:contextualSpacing/>
        <w:jc w:val="both"/>
      </w:pPr>
    </w:p>
    <w:p w14:paraId="27E88D7C" w14:textId="77777777" w:rsidR="000236F5" w:rsidRDefault="000236F5" w:rsidP="00642502">
      <w:pPr>
        <w:widowControl w:val="0"/>
        <w:autoSpaceDE w:val="0"/>
        <w:autoSpaceDN w:val="0"/>
        <w:adjustRightInd w:val="0"/>
        <w:spacing w:after="240"/>
        <w:contextualSpacing/>
        <w:jc w:val="both"/>
      </w:pPr>
    </w:p>
    <w:p w14:paraId="4A8334E5" w14:textId="77777777" w:rsidR="000236F5" w:rsidRDefault="000236F5" w:rsidP="00642502">
      <w:pPr>
        <w:widowControl w:val="0"/>
        <w:autoSpaceDE w:val="0"/>
        <w:autoSpaceDN w:val="0"/>
        <w:adjustRightInd w:val="0"/>
        <w:spacing w:after="240"/>
        <w:contextualSpacing/>
        <w:jc w:val="both"/>
      </w:pPr>
    </w:p>
    <w:p w14:paraId="26CC4E24" w14:textId="77777777" w:rsidR="000236F5" w:rsidRPr="00F77733" w:rsidRDefault="000236F5" w:rsidP="00642502">
      <w:pPr>
        <w:widowControl w:val="0"/>
        <w:autoSpaceDE w:val="0"/>
        <w:autoSpaceDN w:val="0"/>
        <w:adjustRightInd w:val="0"/>
        <w:spacing w:after="240"/>
        <w:contextualSpacing/>
        <w:jc w:val="both"/>
        <w:rPr>
          <w:i/>
          <w:iCs/>
        </w:rPr>
      </w:pPr>
    </w:p>
    <w:p w14:paraId="30BCB460" w14:textId="7CEF1F7D" w:rsidR="00334F87" w:rsidRDefault="00334F87" w:rsidP="00642502">
      <w:pPr>
        <w:contextualSpacing/>
        <w:jc w:val="both"/>
        <w:rPr>
          <w:color w:val="000000" w:themeColor="text1"/>
        </w:rPr>
      </w:pPr>
    </w:p>
    <w:p w14:paraId="4D7085EE" w14:textId="77777777" w:rsidR="00C061D9" w:rsidRDefault="00C061D9" w:rsidP="00642502">
      <w:pPr>
        <w:contextualSpacing/>
        <w:jc w:val="both"/>
        <w:rPr>
          <w:color w:val="000000" w:themeColor="text1"/>
        </w:rPr>
      </w:pPr>
    </w:p>
    <w:p w14:paraId="2FE25C8F" w14:textId="77777777" w:rsidR="006E0DBA" w:rsidRDefault="006E0DBA" w:rsidP="00642502">
      <w:pPr>
        <w:contextualSpacing/>
        <w:jc w:val="both"/>
        <w:rPr>
          <w:sz w:val="20"/>
          <w:szCs w:val="20"/>
        </w:rPr>
      </w:pPr>
    </w:p>
    <w:sectPr w:rsidR="006E0DBA" w:rsidSect="00642502">
      <w:headerReference w:type="default" r:id="rId13"/>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F46AEF" w16cid:durableId="204F4369"/>
  <w16cid:commentId w16cid:paraId="792B39BF" w16cid:durableId="204F563E"/>
  <w16cid:commentId w16cid:paraId="275D1A0E" w16cid:durableId="204F5667"/>
  <w16cid:commentId w16cid:paraId="745A580D" w16cid:durableId="204F567D"/>
  <w16cid:commentId w16cid:paraId="1830B419" w16cid:durableId="204F569F"/>
  <w16cid:commentId w16cid:paraId="1A03AB96" w16cid:durableId="204F56FB"/>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7C5CC" w14:textId="77777777" w:rsidR="00D64B47" w:rsidRDefault="00D64B47" w:rsidP="007F698F">
      <w:r>
        <w:separator/>
      </w:r>
    </w:p>
  </w:endnote>
  <w:endnote w:type="continuationSeparator" w:id="0">
    <w:p w14:paraId="0D4138F3" w14:textId="77777777" w:rsidR="00D64B47" w:rsidRDefault="00D64B47" w:rsidP="007F6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C2804" w14:textId="77777777" w:rsidR="00D64B47" w:rsidRDefault="00D64B47" w:rsidP="007F698F">
      <w:r>
        <w:separator/>
      </w:r>
    </w:p>
  </w:footnote>
  <w:footnote w:type="continuationSeparator" w:id="0">
    <w:p w14:paraId="259A37B6" w14:textId="77777777" w:rsidR="00D64B47" w:rsidRDefault="00D64B47" w:rsidP="007F69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D1C97" w14:textId="77777777" w:rsidR="00840B50" w:rsidRDefault="00840B50" w:rsidP="007F698F">
    <w:pPr>
      <w:pStyle w:val="Header"/>
      <w:jc w:val="both"/>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F1D896F"/>
    <w:multiLevelType w:val="hybridMultilevel"/>
    <w:tmpl w:val="5BCA552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C913D68"/>
    <w:multiLevelType w:val="hybridMultilevel"/>
    <w:tmpl w:val="F79E0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B21620"/>
    <w:multiLevelType w:val="hybridMultilevel"/>
    <w:tmpl w:val="3FDAF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B05403"/>
    <w:multiLevelType w:val="hybridMultilevel"/>
    <w:tmpl w:val="AA785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7A0D99"/>
    <w:multiLevelType w:val="hybridMultilevel"/>
    <w:tmpl w:val="F3CA493E"/>
    <w:lvl w:ilvl="0" w:tplc="E65AB89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7A4B7F"/>
    <w:multiLevelType w:val="hybridMultilevel"/>
    <w:tmpl w:val="0F20A864"/>
    <w:lvl w:ilvl="0" w:tplc="7FEC22D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1817E6"/>
    <w:multiLevelType w:val="hybridMultilevel"/>
    <w:tmpl w:val="262A795C"/>
    <w:lvl w:ilvl="0" w:tplc="223A4B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787E26"/>
    <w:multiLevelType w:val="hybridMultilevel"/>
    <w:tmpl w:val="644056AE"/>
    <w:lvl w:ilvl="0" w:tplc="DA7A09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24EF71"/>
    <w:multiLevelType w:val="hybridMultilevel"/>
    <w:tmpl w:val="4602BAB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7FCC11B7"/>
    <w:multiLevelType w:val="hybridMultilevel"/>
    <w:tmpl w:val="9FAC0A74"/>
    <w:lvl w:ilvl="0" w:tplc="F1781F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8"/>
  </w:num>
  <w:num w:numId="5">
    <w:abstractNumId w:val="9"/>
  </w:num>
  <w:num w:numId="6">
    <w:abstractNumId w:val="7"/>
  </w:num>
  <w:num w:numId="7">
    <w:abstractNumId w:val="1"/>
  </w:num>
  <w:num w:numId="8">
    <w:abstractNumId w:val="3"/>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hideSpellingErrors/>
  <w:hideGrammaticalErrors/>
  <w:activeWritingStyle w:appName="MSWord" w:lang="en-US" w:vendorID="64" w:dllVersion="6" w:nlCheck="1" w:checkStyle="0"/>
  <w:activeWritingStyle w:appName="MSWord" w:lang="en-US" w:vendorID="64" w:dllVersion="4096" w:nlCheck="1" w:checkStyle="0"/>
  <w:activeWritingStyle w:appName="MSWord" w:lang="pt-BR" w:vendorID="64" w:dllVersion="0" w:nlCheck="1" w:checkStyle="0"/>
  <w:activeWritingStyle w:appName="MSWord" w:lang="en-US" w:vendorID="64" w:dllVersion="131078" w:nlCheck="1" w:checkStyle="0"/>
  <w:activeWritingStyle w:appName="MSWord" w:lang="pt-BR" w:vendorID="64" w:dllVersion="131078"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AE7"/>
    <w:rsid w:val="000014CD"/>
    <w:rsid w:val="00001FBA"/>
    <w:rsid w:val="00003337"/>
    <w:rsid w:val="00003396"/>
    <w:rsid w:val="000042E5"/>
    <w:rsid w:val="0000473D"/>
    <w:rsid w:val="00005F5A"/>
    <w:rsid w:val="000068CC"/>
    <w:rsid w:val="00007C2D"/>
    <w:rsid w:val="0001088A"/>
    <w:rsid w:val="00010BC0"/>
    <w:rsid w:val="00012549"/>
    <w:rsid w:val="00017336"/>
    <w:rsid w:val="00022971"/>
    <w:rsid w:val="000229D9"/>
    <w:rsid w:val="00022D95"/>
    <w:rsid w:val="0002340A"/>
    <w:rsid w:val="000236F5"/>
    <w:rsid w:val="000254AD"/>
    <w:rsid w:val="000275AB"/>
    <w:rsid w:val="00030806"/>
    <w:rsid w:val="00030813"/>
    <w:rsid w:val="00031458"/>
    <w:rsid w:val="000332F0"/>
    <w:rsid w:val="00034210"/>
    <w:rsid w:val="00035E81"/>
    <w:rsid w:val="000408C2"/>
    <w:rsid w:val="000411A0"/>
    <w:rsid w:val="00041488"/>
    <w:rsid w:val="000422BB"/>
    <w:rsid w:val="00042CE0"/>
    <w:rsid w:val="00043C53"/>
    <w:rsid w:val="000449A0"/>
    <w:rsid w:val="00044E25"/>
    <w:rsid w:val="00044FEA"/>
    <w:rsid w:val="0004621C"/>
    <w:rsid w:val="00046B35"/>
    <w:rsid w:val="0005078E"/>
    <w:rsid w:val="00050AEB"/>
    <w:rsid w:val="00050C2A"/>
    <w:rsid w:val="00051CDF"/>
    <w:rsid w:val="000548EB"/>
    <w:rsid w:val="0005517D"/>
    <w:rsid w:val="000551B0"/>
    <w:rsid w:val="000555A9"/>
    <w:rsid w:val="00055F4C"/>
    <w:rsid w:val="000561FB"/>
    <w:rsid w:val="0005726E"/>
    <w:rsid w:val="00060AAB"/>
    <w:rsid w:val="0006287C"/>
    <w:rsid w:val="00062E4A"/>
    <w:rsid w:val="00063C79"/>
    <w:rsid w:val="00070F6D"/>
    <w:rsid w:val="000710B5"/>
    <w:rsid w:val="000772CA"/>
    <w:rsid w:val="0008181A"/>
    <w:rsid w:val="00081CC7"/>
    <w:rsid w:val="00086D05"/>
    <w:rsid w:val="000873BF"/>
    <w:rsid w:val="00090135"/>
    <w:rsid w:val="000904EF"/>
    <w:rsid w:val="00091AD4"/>
    <w:rsid w:val="00091B45"/>
    <w:rsid w:val="00094500"/>
    <w:rsid w:val="000963D9"/>
    <w:rsid w:val="0009794B"/>
    <w:rsid w:val="000A3C51"/>
    <w:rsid w:val="000A4871"/>
    <w:rsid w:val="000A5B1C"/>
    <w:rsid w:val="000A67FC"/>
    <w:rsid w:val="000A6F67"/>
    <w:rsid w:val="000A7D81"/>
    <w:rsid w:val="000B1C39"/>
    <w:rsid w:val="000B27BC"/>
    <w:rsid w:val="000B4B09"/>
    <w:rsid w:val="000B55C0"/>
    <w:rsid w:val="000B58DF"/>
    <w:rsid w:val="000B76C0"/>
    <w:rsid w:val="000C321C"/>
    <w:rsid w:val="000C4213"/>
    <w:rsid w:val="000C48C0"/>
    <w:rsid w:val="000C5111"/>
    <w:rsid w:val="000C6364"/>
    <w:rsid w:val="000D0766"/>
    <w:rsid w:val="000D1170"/>
    <w:rsid w:val="000D44C3"/>
    <w:rsid w:val="000D4D0C"/>
    <w:rsid w:val="000D5955"/>
    <w:rsid w:val="000D63C6"/>
    <w:rsid w:val="000D6CF1"/>
    <w:rsid w:val="000D79E4"/>
    <w:rsid w:val="000E0A61"/>
    <w:rsid w:val="000E1C91"/>
    <w:rsid w:val="000E2F09"/>
    <w:rsid w:val="000E718D"/>
    <w:rsid w:val="000E7732"/>
    <w:rsid w:val="000F2E48"/>
    <w:rsid w:val="000F4289"/>
    <w:rsid w:val="000F4712"/>
    <w:rsid w:val="000F5860"/>
    <w:rsid w:val="001003AE"/>
    <w:rsid w:val="00100DEE"/>
    <w:rsid w:val="00105190"/>
    <w:rsid w:val="001070B4"/>
    <w:rsid w:val="001079E9"/>
    <w:rsid w:val="001113B0"/>
    <w:rsid w:val="00117DBA"/>
    <w:rsid w:val="00120882"/>
    <w:rsid w:val="00121D57"/>
    <w:rsid w:val="00121E74"/>
    <w:rsid w:val="001232E2"/>
    <w:rsid w:val="00123926"/>
    <w:rsid w:val="0012414D"/>
    <w:rsid w:val="0012536C"/>
    <w:rsid w:val="00131490"/>
    <w:rsid w:val="00131731"/>
    <w:rsid w:val="00134A28"/>
    <w:rsid w:val="00141F76"/>
    <w:rsid w:val="00142592"/>
    <w:rsid w:val="001429EF"/>
    <w:rsid w:val="00143887"/>
    <w:rsid w:val="001441E2"/>
    <w:rsid w:val="00146EA9"/>
    <w:rsid w:val="001474C3"/>
    <w:rsid w:val="0015122B"/>
    <w:rsid w:val="001528D7"/>
    <w:rsid w:val="001540E8"/>
    <w:rsid w:val="001544F2"/>
    <w:rsid w:val="00154CFE"/>
    <w:rsid w:val="00156050"/>
    <w:rsid w:val="001613B9"/>
    <w:rsid w:val="00162C36"/>
    <w:rsid w:val="00162E98"/>
    <w:rsid w:val="0016371F"/>
    <w:rsid w:val="00163CE6"/>
    <w:rsid w:val="001650D6"/>
    <w:rsid w:val="00166A15"/>
    <w:rsid w:val="00166E5D"/>
    <w:rsid w:val="001701CB"/>
    <w:rsid w:val="001703B9"/>
    <w:rsid w:val="00170809"/>
    <w:rsid w:val="00170A3B"/>
    <w:rsid w:val="00173007"/>
    <w:rsid w:val="001778B4"/>
    <w:rsid w:val="001805A7"/>
    <w:rsid w:val="001842AD"/>
    <w:rsid w:val="0018467C"/>
    <w:rsid w:val="0018540B"/>
    <w:rsid w:val="0018620A"/>
    <w:rsid w:val="0019258F"/>
    <w:rsid w:val="001935A9"/>
    <w:rsid w:val="001940DB"/>
    <w:rsid w:val="00194D94"/>
    <w:rsid w:val="00195705"/>
    <w:rsid w:val="00195F32"/>
    <w:rsid w:val="001A1886"/>
    <w:rsid w:val="001A3820"/>
    <w:rsid w:val="001A6265"/>
    <w:rsid w:val="001A6CC5"/>
    <w:rsid w:val="001B0293"/>
    <w:rsid w:val="001B07BB"/>
    <w:rsid w:val="001B2B50"/>
    <w:rsid w:val="001B324F"/>
    <w:rsid w:val="001B383C"/>
    <w:rsid w:val="001B6ED4"/>
    <w:rsid w:val="001C0937"/>
    <w:rsid w:val="001C5AB5"/>
    <w:rsid w:val="001C7789"/>
    <w:rsid w:val="001D04B1"/>
    <w:rsid w:val="001D04C6"/>
    <w:rsid w:val="001D0B1B"/>
    <w:rsid w:val="001D12AE"/>
    <w:rsid w:val="001D143F"/>
    <w:rsid w:val="001D2ED0"/>
    <w:rsid w:val="001D3C22"/>
    <w:rsid w:val="001D3FD8"/>
    <w:rsid w:val="001D5182"/>
    <w:rsid w:val="001D5D78"/>
    <w:rsid w:val="001E00E5"/>
    <w:rsid w:val="001E206A"/>
    <w:rsid w:val="001E347B"/>
    <w:rsid w:val="001E5BA6"/>
    <w:rsid w:val="001E694E"/>
    <w:rsid w:val="001F2FA7"/>
    <w:rsid w:val="001F3DC9"/>
    <w:rsid w:val="001F46C2"/>
    <w:rsid w:val="001F5506"/>
    <w:rsid w:val="001F64E1"/>
    <w:rsid w:val="001F7396"/>
    <w:rsid w:val="001F772B"/>
    <w:rsid w:val="00201005"/>
    <w:rsid w:val="002010A0"/>
    <w:rsid w:val="00202019"/>
    <w:rsid w:val="00202946"/>
    <w:rsid w:val="00204842"/>
    <w:rsid w:val="0020671E"/>
    <w:rsid w:val="002134B8"/>
    <w:rsid w:val="002141E5"/>
    <w:rsid w:val="00214E84"/>
    <w:rsid w:val="00215693"/>
    <w:rsid w:val="00217A5D"/>
    <w:rsid w:val="00222DAF"/>
    <w:rsid w:val="00225978"/>
    <w:rsid w:val="00230849"/>
    <w:rsid w:val="00231A8B"/>
    <w:rsid w:val="002324AB"/>
    <w:rsid w:val="00232A25"/>
    <w:rsid w:val="002341AC"/>
    <w:rsid w:val="00235414"/>
    <w:rsid w:val="00235B8A"/>
    <w:rsid w:val="00237704"/>
    <w:rsid w:val="002406B0"/>
    <w:rsid w:val="00240732"/>
    <w:rsid w:val="0024224B"/>
    <w:rsid w:val="00242658"/>
    <w:rsid w:val="0024320D"/>
    <w:rsid w:val="002434F0"/>
    <w:rsid w:val="00244968"/>
    <w:rsid w:val="00245279"/>
    <w:rsid w:val="002475D6"/>
    <w:rsid w:val="002476D4"/>
    <w:rsid w:val="002526E7"/>
    <w:rsid w:val="00255888"/>
    <w:rsid w:val="00260C79"/>
    <w:rsid w:val="00267300"/>
    <w:rsid w:val="00267D58"/>
    <w:rsid w:val="00271636"/>
    <w:rsid w:val="00274AB3"/>
    <w:rsid w:val="00276624"/>
    <w:rsid w:val="002777F9"/>
    <w:rsid w:val="00280609"/>
    <w:rsid w:val="00281B21"/>
    <w:rsid w:val="00284DD2"/>
    <w:rsid w:val="0028551D"/>
    <w:rsid w:val="00290DA7"/>
    <w:rsid w:val="00291143"/>
    <w:rsid w:val="0029115B"/>
    <w:rsid w:val="00291F46"/>
    <w:rsid w:val="00293D18"/>
    <w:rsid w:val="00293EB1"/>
    <w:rsid w:val="0029689A"/>
    <w:rsid w:val="00297213"/>
    <w:rsid w:val="00297472"/>
    <w:rsid w:val="0029763E"/>
    <w:rsid w:val="002A002D"/>
    <w:rsid w:val="002A06A7"/>
    <w:rsid w:val="002A0E36"/>
    <w:rsid w:val="002A1E19"/>
    <w:rsid w:val="002A281E"/>
    <w:rsid w:val="002A489F"/>
    <w:rsid w:val="002A4B2C"/>
    <w:rsid w:val="002A6432"/>
    <w:rsid w:val="002A73BA"/>
    <w:rsid w:val="002A73D2"/>
    <w:rsid w:val="002B67A6"/>
    <w:rsid w:val="002B7532"/>
    <w:rsid w:val="002C5402"/>
    <w:rsid w:val="002C5F7D"/>
    <w:rsid w:val="002C65DF"/>
    <w:rsid w:val="002C6E7A"/>
    <w:rsid w:val="002C6FC7"/>
    <w:rsid w:val="002C7275"/>
    <w:rsid w:val="002C7E9C"/>
    <w:rsid w:val="002D19CD"/>
    <w:rsid w:val="002D1D84"/>
    <w:rsid w:val="002D25C5"/>
    <w:rsid w:val="002D2CF7"/>
    <w:rsid w:val="002D4857"/>
    <w:rsid w:val="002E0466"/>
    <w:rsid w:val="002E1583"/>
    <w:rsid w:val="002E2D6C"/>
    <w:rsid w:val="002E42D0"/>
    <w:rsid w:val="002E6DFA"/>
    <w:rsid w:val="002E7DFE"/>
    <w:rsid w:val="002F06CE"/>
    <w:rsid w:val="002F0FD7"/>
    <w:rsid w:val="002F3D2D"/>
    <w:rsid w:val="002F3D7F"/>
    <w:rsid w:val="002F53B1"/>
    <w:rsid w:val="002F7311"/>
    <w:rsid w:val="00302E42"/>
    <w:rsid w:val="0030450E"/>
    <w:rsid w:val="00304C2F"/>
    <w:rsid w:val="003069A2"/>
    <w:rsid w:val="00310094"/>
    <w:rsid w:val="00310DF8"/>
    <w:rsid w:val="003143AD"/>
    <w:rsid w:val="003150B7"/>
    <w:rsid w:val="00315CA1"/>
    <w:rsid w:val="00315D56"/>
    <w:rsid w:val="00316987"/>
    <w:rsid w:val="00316E76"/>
    <w:rsid w:val="00317766"/>
    <w:rsid w:val="003228F2"/>
    <w:rsid w:val="0033130E"/>
    <w:rsid w:val="00332BD0"/>
    <w:rsid w:val="00334F87"/>
    <w:rsid w:val="00335F57"/>
    <w:rsid w:val="003371FD"/>
    <w:rsid w:val="0034115C"/>
    <w:rsid w:val="003424A7"/>
    <w:rsid w:val="00345544"/>
    <w:rsid w:val="00346310"/>
    <w:rsid w:val="003469E9"/>
    <w:rsid w:val="0035138C"/>
    <w:rsid w:val="00351BA3"/>
    <w:rsid w:val="00351E4E"/>
    <w:rsid w:val="003527A0"/>
    <w:rsid w:val="00352F4A"/>
    <w:rsid w:val="003539CE"/>
    <w:rsid w:val="00355019"/>
    <w:rsid w:val="00355028"/>
    <w:rsid w:val="00357B20"/>
    <w:rsid w:val="00360146"/>
    <w:rsid w:val="003608BD"/>
    <w:rsid w:val="00360D44"/>
    <w:rsid w:val="00362C2B"/>
    <w:rsid w:val="003656D2"/>
    <w:rsid w:val="00371413"/>
    <w:rsid w:val="00373F65"/>
    <w:rsid w:val="003749D0"/>
    <w:rsid w:val="00374C51"/>
    <w:rsid w:val="00375599"/>
    <w:rsid w:val="00375910"/>
    <w:rsid w:val="003759E8"/>
    <w:rsid w:val="003771E1"/>
    <w:rsid w:val="00377BCE"/>
    <w:rsid w:val="00380400"/>
    <w:rsid w:val="00380DF7"/>
    <w:rsid w:val="00381B8F"/>
    <w:rsid w:val="003843A5"/>
    <w:rsid w:val="0038657C"/>
    <w:rsid w:val="00386B7D"/>
    <w:rsid w:val="00391D8A"/>
    <w:rsid w:val="00393C0C"/>
    <w:rsid w:val="0039729D"/>
    <w:rsid w:val="003A06CB"/>
    <w:rsid w:val="003A1E3C"/>
    <w:rsid w:val="003A24BD"/>
    <w:rsid w:val="003A428C"/>
    <w:rsid w:val="003A695F"/>
    <w:rsid w:val="003A6B04"/>
    <w:rsid w:val="003B0CFA"/>
    <w:rsid w:val="003B11A6"/>
    <w:rsid w:val="003B1A9A"/>
    <w:rsid w:val="003B1E9E"/>
    <w:rsid w:val="003B2964"/>
    <w:rsid w:val="003B334B"/>
    <w:rsid w:val="003B426E"/>
    <w:rsid w:val="003B5413"/>
    <w:rsid w:val="003B6200"/>
    <w:rsid w:val="003B7579"/>
    <w:rsid w:val="003B769D"/>
    <w:rsid w:val="003B794A"/>
    <w:rsid w:val="003C1219"/>
    <w:rsid w:val="003C18FA"/>
    <w:rsid w:val="003C29F5"/>
    <w:rsid w:val="003C58DC"/>
    <w:rsid w:val="003C7419"/>
    <w:rsid w:val="003C7A23"/>
    <w:rsid w:val="003D2B7F"/>
    <w:rsid w:val="003D2E3C"/>
    <w:rsid w:val="003D5B8B"/>
    <w:rsid w:val="003D7D6E"/>
    <w:rsid w:val="003D7DD0"/>
    <w:rsid w:val="003D7FD2"/>
    <w:rsid w:val="003E0421"/>
    <w:rsid w:val="003E0D13"/>
    <w:rsid w:val="003E2986"/>
    <w:rsid w:val="003E5239"/>
    <w:rsid w:val="003F0050"/>
    <w:rsid w:val="003F3D7E"/>
    <w:rsid w:val="003F5D64"/>
    <w:rsid w:val="003F5FA4"/>
    <w:rsid w:val="003F6C84"/>
    <w:rsid w:val="003F6F91"/>
    <w:rsid w:val="003F7EDD"/>
    <w:rsid w:val="00400919"/>
    <w:rsid w:val="00400BE8"/>
    <w:rsid w:val="004019E9"/>
    <w:rsid w:val="00402CE0"/>
    <w:rsid w:val="004031D4"/>
    <w:rsid w:val="004042BC"/>
    <w:rsid w:val="00404664"/>
    <w:rsid w:val="004046BC"/>
    <w:rsid w:val="00404AD3"/>
    <w:rsid w:val="00404E7F"/>
    <w:rsid w:val="00404E9D"/>
    <w:rsid w:val="0040558A"/>
    <w:rsid w:val="00407351"/>
    <w:rsid w:val="004108CF"/>
    <w:rsid w:val="00413B1A"/>
    <w:rsid w:val="0042066B"/>
    <w:rsid w:val="00420F1A"/>
    <w:rsid w:val="004226BF"/>
    <w:rsid w:val="004232C8"/>
    <w:rsid w:val="004258B2"/>
    <w:rsid w:val="0042600C"/>
    <w:rsid w:val="004269F9"/>
    <w:rsid w:val="00431F2A"/>
    <w:rsid w:val="0043313D"/>
    <w:rsid w:val="00433BA0"/>
    <w:rsid w:val="004362E1"/>
    <w:rsid w:val="00440004"/>
    <w:rsid w:val="0044025B"/>
    <w:rsid w:val="004424C1"/>
    <w:rsid w:val="00444CA1"/>
    <w:rsid w:val="00445C5B"/>
    <w:rsid w:val="004462F3"/>
    <w:rsid w:val="004515E5"/>
    <w:rsid w:val="00454853"/>
    <w:rsid w:val="0045587E"/>
    <w:rsid w:val="004558E1"/>
    <w:rsid w:val="00456A31"/>
    <w:rsid w:val="00456BDD"/>
    <w:rsid w:val="0045714E"/>
    <w:rsid w:val="00457206"/>
    <w:rsid w:val="00461731"/>
    <w:rsid w:val="00462D88"/>
    <w:rsid w:val="00464797"/>
    <w:rsid w:val="00464D56"/>
    <w:rsid w:val="0047272E"/>
    <w:rsid w:val="0047367E"/>
    <w:rsid w:val="00474BD0"/>
    <w:rsid w:val="00474ED6"/>
    <w:rsid w:val="00475F34"/>
    <w:rsid w:val="00476179"/>
    <w:rsid w:val="0047764E"/>
    <w:rsid w:val="00480317"/>
    <w:rsid w:val="00480A85"/>
    <w:rsid w:val="00481732"/>
    <w:rsid w:val="00481CC7"/>
    <w:rsid w:val="0048288D"/>
    <w:rsid w:val="00482F2B"/>
    <w:rsid w:val="00484CDC"/>
    <w:rsid w:val="004862D7"/>
    <w:rsid w:val="004870B0"/>
    <w:rsid w:val="00490E65"/>
    <w:rsid w:val="00490F13"/>
    <w:rsid w:val="00491327"/>
    <w:rsid w:val="004A0FCD"/>
    <w:rsid w:val="004A2047"/>
    <w:rsid w:val="004A519E"/>
    <w:rsid w:val="004A6E3B"/>
    <w:rsid w:val="004A7D5B"/>
    <w:rsid w:val="004B31A5"/>
    <w:rsid w:val="004B35CB"/>
    <w:rsid w:val="004B397B"/>
    <w:rsid w:val="004B3CBD"/>
    <w:rsid w:val="004B4D8A"/>
    <w:rsid w:val="004B4FC4"/>
    <w:rsid w:val="004B532C"/>
    <w:rsid w:val="004B5D44"/>
    <w:rsid w:val="004B6388"/>
    <w:rsid w:val="004B647C"/>
    <w:rsid w:val="004B7424"/>
    <w:rsid w:val="004C007C"/>
    <w:rsid w:val="004C578C"/>
    <w:rsid w:val="004C595A"/>
    <w:rsid w:val="004C7FFE"/>
    <w:rsid w:val="004D0CE5"/>
    <w:rsid w:val="004D5249"/>
    <w:rsid w:val="004D551E"/>
    <w:rsid w:val="004D6309"/>
    <w:rsid w:val="004E1372"/>
    <w:rsid w:val="004E1D06"/>
    <w:rsid w:val="004E2E9E"/>
    <w:rsid w:val="004E3040"/>
    <w:rsid w:val="004E3261"/>
    <w:rsid w:val="004E43FD"/>
    <w:rsid w:val="004E4F66"/>
    <w:rsid w:val="004E6FA3"/>
    <w:rsid w:val="004F1943"/>
    <w:rsid w:val="004F1AC2"/>
    <w:rsid w:val="004F29AC"/>
    <w:rsid w:val="004F425A"/>
    <w:rsid w:val="004F437E"/>
    <w:rsid w:val="004F6EDB"/>
    <w:rsid w:val="005003D6"/>
    <w:rsid w:val="00500B37"/>
    <w:rsid w:val="005012DA"/>
    <w:rsid w:val="0050252D"/>
    <w:rsid w:val="005039ED"/>
    <w:rsid w:val="00503C4D"/>
    <w:rsid w:val="00504554"/>
    <w:rsid w:val="00505040"/>
    <w:rsid w:val="0050551C"/>
    <w:rsid w:val="005074F4"/>
    <w:rsid w:val="005110F9"/>
    <w:rsid w:val="005132F8"/>
    <w:rsid w:val="0051373D"/>
    <w:rsid w:val="00513762"/>
    <w:rsid w:val="005150C4"/>
    <w:rsid w:val="00515DC0"/>
    <w:rsid w:val="00517131"/>
    <w:rsid w:val="00517981"/>
    <w:rsid w:val="00521F03"/>
    <w:rsid w:val="00523135"/>
    <w:rsid w:val="00525A20"/>
    <w:rsid w:val="005265DF"/>
    <w:rsid w:val="0052678F"/>
    <w:rsid w:val="005302BA"/>
    <w:rsid w:val="00531BC4"/>
    <w:rsid w:val="00532CE1"/>
    <w:rsid w:val="0053681D"/>
    <w:rsid w:val="0053771E"/>
    <w:rsid w:val="005409AF"/>
    <w:rsid w:val="005420F5"/>
    <w:rsid w:val="005450FE"/>
    <w:rsid w:val="005455C8"/>
    <w:rsid w:val="005472C7"/>
    <w:rsid w:val="005531FF"/>
    <w:rsid w:val="00554310"/>
    <w:rsid w:val="005544D1"/>
    <w:rsid w:val="00555014"/>
    <w:rsid w:val="00556387"/>
    <w:rsid w:val="00563A1A"/>
    <w:rsid w:val="00563CAA"/>
    <w:rsid w:val="00564543"/>
    <w:rsid w:val="00571D06"/>
    <w:rsid w:val="0057308D"/>
    <w:rsid w:val="00575271"/>
    <w:rsid w:val="00576685"/>
    <w:rsid w:val="00580100"/>
    <w:rsid w:val="00580A05"/>
    <w:rsid w:val="00582957"/>
    <w:rsid w:val="00584768"/>
    <w:rsid w:val="00585A11"/>
    <w:rsid w:val="00585E47"/>
    <w:rsid w:val="0058644C"/>
    <w:rsid w:val="005876DD"/>
    <w:rsid w:val="00591073"/>
    <w:rsid w:val="00594520"/>
    <w:rsid w:val="00597F2A"/>
    <w:rsid w:val="005A0A89"/>
    <w:rsid w:val="005A11EC"/>
    <w:rsid w:val="005A1C14"/>
    <w:rsid w:val="005A269A"/>
    <w:rsid w:val="005A5530"/>
    <w:rsid w:val="005A567C"/>
    <w:rsid w:val="005A72B8"/>
    <w:rsid w:val="005B117A"/>
    <w:rsid w:val="005B21A1"/>
    <w:rsid w:val="005B2E22"/>
    <w:rsid w:val="005B3FD1"/>
    <w:rsid w:val="005B4A4E"/>
    <w:rsid w:val="005B4A5A"/>
    <w:rsid w:val="005B56CE"/>
    <w:rsid w:val="005B5D24"/>
    <w:rsid w:val="005C6822"/>
    <w:rsid w:val="005D27CD"/>
    <w:rsid w:val="005D4112"/>
    <w:rsid w:val="005D5627"/>
    <w:rsid w:val="005E14D6"/>
    <w:rsid w:val="005E21A9"/>
    <w:rsid w:val="005E3887"/>
    <w:rsid w:val="005E4BFB"/>
    <w:rsid w:val="005E6972"/>
    <w:rsid w:val="005F287E"/>
    <w:rsid w:val="005F31DF"/>
    <w:rsid w:val="005F378A"/>
    <w:rsid w:val="005F5B92"/>
    <w:rsid w:val="005F6911"/>
    <w:rsid w:val="005F6F95"/>
    <w:rsid w:val="00603AB6"/>
    <w:rsid w:val="0060425A"/>
    <w:rsid w:val="00606EBB"/>
    <w:rsid w:val="00606F80"/>
    <w:rsid w:val="00607229"/>
    <w:rsid w:val="00610EA2"/>
    <w:rsid w:val="0061191A"/>
    <w:rsid w:val="00611DDD"/>
    <w:rsid w:val="006121E3"/>
    <w:rsid w:val="006122A1"/>
    <w:rsid w:val="00617F1A"/>
    <w:rsid w:val="006201D0"/>
    <w:rsid w:val="00623505"/>
    <w:rsid w:val="006249F6"/>
    <w:rsid w:val="00625906"/>
    <w:rsid w:val="006260D5"/>
    <w:rsid w:val="0062645D"/>
    <w:rsid w:val="00626894"/>
    <w:rsid w:val="00626B38"/>
    <w:rsid w:val="00627B75"/>
    <w:rsid w:val="00630BE0"/>
    <w:rsid w:val="00632B97"/>
    <w:rsid w:val="006332A9"/>
    <w:rsid w:val="00635634"/>
    <w:rsid w:val="00635EF4"/>
    <w:rsid w:val="006414C5"/>
    <w:rsid w:val="00641E0D"/>
    <w:rsid w:val="006421A7"/>
    <w:rsid w:val="00642502"/>
    <w:rsid w:val="0064252A"/>
    <w:rsid w:val="00643045"/>
    <w:rsid w:val="006448A5"/>
    <w:rsid w:val="006457C2"/>
    <w:rsid w:val="00646948"/>
    <w:rsid w:val="00647201"/>
    <w:rsid w:val="006474C8"/>
    <w:rsid w:val="00653250"/>
    <w:rsid w:val="006539E6"/>
    <w:rsid w:val="00655C2B"/>
    <w:rsid w:val="0065609C"/>
    <w:rsid w:val="006566D7"/>
    <w:rsid w:val="0065741A"/>
    <w:rsid w:val="00662CA5"/>
    <w:rsid w:val="006633CC"/>
    <w:rsid w:val="006648BE"/>
    <w:rsid w:val="00664E10"/>
    <w:rsid w:val="0066784C"/>
    <w:rsid w:val="00674152"/>
    <w:rsid w:val="0067611E"/>
    <w:rsid w:val="006808DA"/>
    <w:rsid w:val="0068259E"/>
    <w:rsid w:val="0068356E"/>
    <w:rsid w:val="00687B4E"/>
    <w:rsid w:val="00691E24"/>
    <w:rsid w:val="006950D1"/>
    <w:rsid w:val="00697C80"/>
    <w:rsid w:val="006A08BB"/>
    <w:rsid w:val="006A0C87"/>
    <w:rsid w:val="006A42FA"/>
    <w:rsid w:val="006A489A"/>
    <w:rsid w:val="006A550F"/>
    <w:rsid w:val="006A590F"/>
    <w:rsid w:val="006A5A5D"/>
    <w:rsid w:val="006A5E7F"/>
    <w:rsid w:val="006A6272"/>
    <w:rsid w:val="006B09E2"/>
    <w:rsid w:val="006B1030"/>
    <w:rsid w:val="006B38C6"/>
    <w:rsid w:val="006B3D63"/>
    <w:rsid w:val="006B6612"/>
    <w:rsid w:val="006B68DB"/>
    <w:rsid w:val="006B7E0B"/>
    <w:rsid w:val="006C04BA"/>
    <w:rsid w:val="006C1AE1"/>
    <w:rsid w:val="006C3391"/>
    <w:rsid w:val="006C5FCA"/>
    <w:rsid w:val="006C6DD6"/>
    <w:rsid w:val="006C6EA6"/>
    <w:rsid w:val="006D1733"/>
    <w:rsid w:val="006D232C"/>
    <w:rsid w:val="006D262F"/>
    <w:rsid w:val="006D3671"/>
    <w:rsid w:val="006D3C3B"/>
    <w:rsid w:val="006D3CD6"/>
    <w:rsid w:val="006D4B17"/>
    <w:rsid w:val="006D69E4"/>
    <w:rsid w:val="006D7E63"/>
    <w:rsid w:val="006E03EB"/>
    <w:rsid w:val="006E0DBA"/>
    <w:rsid w:val="006E52CC"/>
    <w:rsid w:val="006F064B"/>
    <w:rsid w:val="006F1CF7"/>
    <w:rsid w:val="006F32C5"/>
    <w:rsid w:val="006F3F34"/>
    <w:rsid w:val="006F5E90"/>
    <w:rsid w:val="006F67C6"/>
    <w:rsid w:val="006F6CAD"/>
    <w:rsid w:val="006F6CB0"/>
    <w:rsid w:val="006F751C"/>
    <w:rsid w:val="007011F6"/>
    <w:rsid w:val="007019BA"/>
    <w:rsid w:val="007042DD"/>
    <w:rsid w:val="00706088"/>
    <w:rsid w:val="00706DDF"/>
    <w:rsid w:val="00707960"/>
    <w:rsid w:val="00710242"/>
    <w:rsid w:val="007103D6"/>
    <w:rsid w:val="00710D90"/>
    <w:rsid w:val="00711911"/>
    <w:rsid w:val="007173CB"/>
    <w:rsid w:val="007200A9"/>
    <w:rsid w:val="00725E86"/>
    <w:rsid w:val="00726290"/>
    <w:rsid w:val="007267C2"/>
    <w:rsid w:val="00730B19"/>
    <w:rsid w:val="0073384E"/>
    <w:rsid w:val="00735720"/>
    <w:rsid w:val="00740563"/>
    <w:rsid w:val="007420BF"/>
    <w:rsid w:val="00742539"/>
    <w:rsid w:val="007436F2"/>
    <w:rsid w:val="00743775"/>
    <w:rsid w:val="00747535"/>
    <w:rsid w:val="00752B38"/>
    <w:rsid w:val="00752FAA"/>
    <w:rsid w:val="00754584"/>
    <w:rsid w:val="00756607"/>
    <w:rsid w:val="0075751E"/>
    <w:rsid w:val="00760E83"/>
    <w:rsid w:val="00760FCA"/>
    <w:rsid w:val="00762413"/>
    <w:rsid w:val="00762B91"/>
    <w:rsid w:val="007661D8"/>
    <w:rsid w:val="00766E70"/>
    <w:rsid w:val="00767D3A"/>
    <w:rsid w:val="00776199"/>
    <w:rsid w:val="007766CD"/>
    <w:rsid w:val="0078113C"/>
    <w:rsid w:val="00784EC6"/>
    <w:rsid w:val="00785BD8"/>
    <w:rsid w:val="00785C3F"/>
    <w:rsid w:val="00790773"/>
    <w:rsid w:val="0079117C"/>
    <w:rsid w:val="00792233"/>
    <w:rsid w:val="007929D2"/>
    <w:rsid w:val="00793E23"/>
    <w:rsid w:val="00794C86"/>
    <w:rsid w:val="00797AA4"/>
    <w:rsid w:val="007A17AB"/>
    <w:rsid w:val="007A453B"/>
    <w:rsid w:val="007A5688"/>
    <w:rsid w:val="007A701F"/>
    <w:rsid w:val="007B0033"/>
    <w:rsid w:val="007B12AE"/>
    <w:rsid w:val="007B1445"/>
    <w:rsid w:val="007B3C91"/>
    <w:rsid w:val="007B5575"/>
    <w:rsid w:val="007B64A2"/>
    <w:rsid w:val="007B69BD"/>
    <w:rsid w:val="007C05E5"/>
    <w:rsid w:val="007C1D96"/>
    <w:rsid w:val="007C3DC4"/>
    <w:rsid w:val="007C5705"/>
    <w:rsid w:val="007C5766"/>
    <w:rsid w:val="007C646E"/>
    <w:rsid w:val="007C73E1"/>
    <w:rsid w:val="007C7CD6"/>
    <w:rsid w:val="007D12B1"/>
    <w:rsid w:val="007D186F"/>
    <w:rsid w:val="007D2708"/>
    <w:rsid w:val="007E1103"/>
    <w:rsid w:val="007E1DE6"/>
    <w:rsid w:val="007E34CA"/>
    <w:rsid w:val="007E3D16"/>
    <w:rsid w:val="007F0493"/>
    <w:rsid w:val="007F0DDA"/>
    <w:rsid w:val="007F1B4E"/>
    <w:rsid w:val="007F284B"/>
    <w:rsid w:val="007F698F"/>
    <w:rsid w:val="007F6D4F"/>
    <w:rsid w:val="00800096"/>
    <w:rsid w:val="00800526"/>
    <w:rsid w:val="00801A79"/>
    <w:rsid w:val="00801B0D"/>
    <w:rsid w:val="00801EAC"/>
    <w:rsid w:val="008042B3"/>
    <w:rsid w:val="00804B5E"/>
    <w:rsid w:val="008055A9"/>
    <w:rsid w:val="00806355"/>
    <w:rsid w:val="00806A10"/>
    <w:rsid w:val="00806EB7"/>
    <w:rsid w:val="00807445"/>
    <w:rsid w:val="008076FA"/>
    <w:rsid w:val="00807959"/>
    <w:rsid w:val="00810FD1"/>
    <w:rsid w:val="00811227"/>
    <w:rsid w:val="00811A8A"/>
    <w:rsid w:val="00812028"/>
    <w:rsid w:val="0081265F"/>
    <w:rsid w:val="00812764"/>
    <w:rsid w:val="00813FC6"/>
    <w:rsid w:val="00815936"/>
    <w:rsid w:val="0081632E"/>
    <w:rsid w:val="008173CD"/>
    <w:rsid w:val="00820AC5"/>
    <w:rsid w:val="0082501D"/>
    <w:rsid w:val="00826BFA"/>
    <w:rsid w:val="00831A72"/>
    <w:rsid w:val="00834DDA"/>
    <w:rsid w:val="00836AC3"/>
    <w:rsid w:val="00837726"/>
    <w:rsid w:val="00837F4F"/>
    <w:rsid w:val="0084055F"/>
    <w:rsid w:val="00840B50"/>
    <w:rsid w:val="00840E14"/>
    <w:rsid w:val="008421A7"/>
    <w:rsid w:val="00842783"/>
    <w:rsid w:val="00846E51"/>
    <w:rsid w:val="00847469"/>
    <w:rsid w:val="00847913"/>
    <w:rsid w:val="00850362"/>
    <w:rsid w:val="00851269"/>
    <w:rsid w:val="00851698"/>
    <w:rsid w:val="0085179F"/>
    <w:rsid w:val="0085514A"/>
    <w:rsid w:val="00855775"/>
    <w:rsid w:val="008568CC"/>
    <w:rsid w:val="00860239"/>
    <w:rsid w:val="008611C9"/>
    <w:rsid w:val="008628F2"/>
    <w:rsid w:val="008645CD"/>
    <w:rsid w:val="00864CA3"/>
    <w:rsid w:val="00865E2C"/>
    <w:rsid w:val="0086658A"/>
    <w:rsid w:val="00866740"/>
    <w:rsid w:val="008675ED"/>
    <w:rsid w:val="00874A0F"/>
    <w:rsid w:val="008754BE"/>
    <w:rsid w:val="00876435"/>
    <w:rsid w:val="0088038F"/>
    <w:rsid w:val="008834D6"/>
    <w:rsid w:val="0088462A"/>
    <w:rsid w:val="00885042"/>
    <w:rsid w:val="008862CD"/>
    <w:rsid w:val="008868A5"/>
    <w:rsid w:val="00886A7F"/>
    <w:rsid w:val="008873CD"/>
    <w:rsid w:val="00887429"/>
    <w:rsid w:val="00887482"/>
    <w:rsid w:val="00890049"/>
    <w:rsid w:val="008908A0"/>
    <w:rsid w:val="00891B1A"/>
    <w:rsid w:val="00893007"/>
    <w:rsid w:val="00893542"/>
    <w:rsid w:val="00893E64"/>
    <w:rsid w:val="00897A1D"/>
    <w:rsid w:val="008A10F8"/>
    <w:rsid w:val="008A240F"/>
    <w:rsid w:val="008A30AE"/>
    <w:rsid w:val="008A3A7E"/>
    <w:rsid w:val="008A467B"/>
    <w:rsid w:val="008A6398"/>
    <w:rsid w:val="008A664F"/>
    <w:rsid w:val="008A71F0"/>
    <w:rsid w:val="008B1371"/>
    <w:rsid w:val="008B2985"/>
    <w:rsid w:val="008B3C36"/>
    <w:rsid w:val="008B3EBE"/>
    <w:rsid w:val="008B3FC0"/>
    <w:rsid w:val="008B45EC"/>
    <w:rsid w:val="008B51C2"/>
    <w:rsid w:val="008B63CC"/>
    <w:rsid w:val="008C1A72"/>
    <w:rsid w:val="008C1DBB"/>
    <w:rsid w:val="008C34E7"/>
    <w:rsid w:val="008C4D9B"/>
    <w:rsid w:val="008C6993"/>
    <w:rsid w:val="008C6CA8"/>
    <w:rsid w:val="008D3C10"/>
    <w:rsid w:val="008D5E44"/>
    <w:rsid w:val="008E37E5"/>
    <w:rsid w:val="008E416C"/>
    <w:rsid w:val="008E50C4"/>
    <w:rsid w:val="008E5BD7"/>
    <w:rsid w:val="008E7797"/>
    <w:rsid w:val="008F0909"/>
    <w:rsid w:val="008F596D"/>
    <w:rsid w:val="00901473"/>
    <w:rsid w:val="009029A8"/>
    <w:rsid w:val="0090342D"/>
    <w:rsid w:val="009040AD"/>
    <w:rsid w:val="00912150"/>
    <w:rsid w:val="00912D58"/>
    <w:rsid w:val="00914D9C"/>
    <w:rsid w:val="009153D1"/>
    <w:rsid w:val="009163FF"/>
    <w:rsid w:val="009165F9"/>
    <w:rsid w:val="0091710F"/>
    <w:rsid w:val="00917723"/>
    <w:rsid w:val="00920F93"/>
    <w:rsid w:val="0092154F"/>
    <w:rsid w:val="00921B9A"/>
    <w:rsid w:val="00922730"/>
    <w:rsid w:val="00927A8D"/>
    <w:rsid w:val="00932AA6"/>
    <w:rsid w:val="00935AC8"/>
    <w:rsid w:val="00935AE4"/>
    <w:rsid w:val="00935B3E"/>
    <w:rsid w:val="00937F83"/>
    <w:rsid w:val="009425FD"/>
    <w:rsid w:val="00944330"/>
    <w:rsid w:val="00945197"/>
    <w:rsid w:val="00946A74"/>
    <w:rsid w:val="00947800"/>
    <w:rsid w:val="009508A2"/>
    <w:rsid w:val="00952749"/>
    <w:rsid w:val="0095297F"/>
    <w:rsid w:val="009530F2"/>
    <w:rsid w:val="0095313D"/>
    <w:rsid w:val="00953545"/>
    <w:rsid w:val="009632A4"/>
    <w:rsid w:val="009638DD"/>
    <w:rsid w:val="0096551E"/>
    <w:rsid w:val="009709A9"/>
    <w:rsid w:val="00970D86"/>
    <w:rsid w:val="00971784"/>
    <w:rsid w:val="0097312F"/>
    <w:rsid w:val="00973AC2"/>
    <w:rsid w:val="0097480A"/>
    <w:rsid w:val="00975630"/>
    <w:rsid w:val="009759CC"/>
    <w:rsid w:val="0097659D"/>
    <w:rsid w:val="00977247"/>
    <w:rsid w:val="00977735"/>
    <w:rsid w:val="009778AD"/>
    <w:rsid w:val="0098140D"/>
    <w:rsid w:val="00982717"/>
    <w:rsid w:val="00984100"/>
    <w:rsid w:val="00984F7E"/>
    <w:rsid w:val="009907B8"/>
    <w:rsid w:val="00991821"/>
    <w:rsid w:val="009934FE"/>
    <w:rsid w:val="0099357A"/>
    <w:rsid w:val="00995CBB"/>
    <w:rsid w:val="00995D22"/>
    <w:rsid w:val="009976E7"/>
    <w:rsid w:val="00997F5E"/>
    <w:rsid w:val="009A2185"/>
    <w:rsid w:val="009A2B72"/>
    <w:rsid w:val="009A3EA6"/>
    <w:rsid w:val="009A67C6"/>
    <w:rsid w:val="009A68DA"/>
    <w:rsid w:val="009A6D0D"/>
    <w:rsid w:val="009B2B09"/>
    <w:rsid w:val="009B43EE"/>
    <w:rsid w:val="009B4C43"/>
    <w:rsid w:val="009B6671"/>
    <w:rsid w:val="009B6849"/>
    <w:rsid w:val="009C4016"/>
    <w:rsid w:val="009C6A84"/>
    <w:rsid w:val="009C7887"/>
    <w:rsid w:val="009C7F3C"/>
    <w:rsid w:val="009D07A8"/>
    <w:rsid w:val="009D1947"/>
    <w:rsid w:val="009D3561"/>
    <w:rsid w:val="009D6CBA"/>
    <w:rsid w:val="009D6EBD"/>
    <w:rsid w:val="009D7749"/>
    <w:rsid w:val="009E08E3"/>
    <w:rsid w:val="009E296A"/>
    <w:rsid w:val="009E2F28"/>
    <w:rsid w:val="009E3652"/>
    <w:rsid w:val="009E4A18"/>
    <w:rsid w:val="009E4F60"/>
    <w:rsid w:val="009F0A44"/>
    <w:rsid w:val="009F0F15"/>
    <w:rsid w:val="009F6917"/>
    <w:rsid w:val="009F6EF1"/>
    <w:rsid w:val="009F795A"/>
    <w:rsid w:val="00A0057E"/>
    <w:rsid w:val="00A02D4F"/>
    <w:rsid w:val="00A03085"/>
    <w:rsid w:val="00A03E75"/>
    <w:rsid w:val="00A055A4"/>
    <w:rsid w:val="00A070B3"/>
    <w:rsid w:val="00A12EDC"/>
    <w:rsid w:val="00A13C4F"/>
    <w:rsid w:val="00A150D7"/>
    <w:rsid w:val="00A16305"/>
    <w:rsid w:val="00A17698"/>
    <w:rsid w:val="00A20715"/>
    <w:rsid w:val="00A21F5B"/>
    <w:rsid w:val="00A22044"/>
    <w:rsid w:val="00A22475"/>
    <w:rsid w:val="00A24FE9"/>
    <w:rsid w:val="00A261F2"/>
    <w:rsid w:val="00A27E21"/>
    <w:rsid w:val="00A31717"/>
    <w:rsid w:val="00A31DC1"/>
    <w:rsid w:val="00A333FD"/>
    <w:rsid w:val="00A3571A"/>
    <w:rsid w:val="00A37E1A"/>
    <w:rsid w:val="00A46859"/>
    <w:rsid w:val="00A46DEF"/>
    <w:rsid w:val="00A54D5C"/>
    <w:rsid w:val="00A601B0"/>
    <w:rsid w:val="00A60F7B"/>
    <w:rsid w:val="00A615D6"/>
    <w:rsid w:val="00A61619"/>
    <w:rsid w:val="00A63098"/>
    <w:rsid w:val="00A64BDB"/>
    <w:rsid w:val="00A71AAB"/>
    <w:rsid w:val="00A7462E"/>
    <w:rsid w:val="00A74996"/>
    <w:rsid w:val="00A75609"/>
    <w:rsid w:val="00A75CA7"/>
    <w:rsid w:val="00A772ED"/>
    <w:rsid w:val="00A77686"/>
    <w:rsid w:val="00A800C8"/>
    <w:rsid w:val="00A80112"/>
    <w:rsid w:val="00A80269"/>
    <w:rsid w:val="00A82DB7"/>
    <w:rsid w:val="00A84526"/>
    <w:rsid w:val="00A855CE"/>
    <w:rsid w:val="00A85F4F"/>
    <w:rsid w:val="00A863CE"/>
    <w:rsid w:val="00A87BFE"/>
    <w:rsid w:val="00A90B60"/>
    <w:rsid w:val="00A91591"/>
    <w:rsid w:val="00A915F5"/>
    <w:rsid w:val="00A92659"/>
    <w:rsid w:val="00A966AC"/>
    <w:rsid w:val="00AA0A32"/>
    <w:rsid w:val="00AA1735"/>
    <w:rsid w:val="00AA3FC8"/>
    <w:rsid w:val="00AB00FE"/>
    <w:rsid w:val="00AB0135"/>
    <w:rsid w:val="00AB091D"/>
    <w:rsid w:val="00AB113E"/>
    <w:rsid w:val="00AB2C44"/>
    <w:rsid w:val="00AB3F33"/>
    <w:rsid w:val="00AB4110"/>
    <w:rsid w:val="00AB4E44"/>
    <w:rsid w:val="00AB4EB0"/>
    <w:rsid w:val="00AB54CD"/>
    <w:rsid w:val="00AB6586"/>
    <w:rsid w:val="00AB6DA1"/>
    <w:rsid w:val="00AB767F"/>
    <w:rsid w:val="00AC20A9"/>
    <w:rsid w:val="00AC3245"/>
    <w:rsid w:val="00AC35CA"/>
    <w:rsid w:val="00AC418A"/>
    <w:rsid w:val="00AD0A81"/>
    <w:rsid w:val="00AD6412"/>
    <w:rsid w:val="00AD77AA"/>
    <w:rsid w:val="00AD7B1E"/>
    <w:rsid w:val="00AE0739"/>
    <w:rsid w:val="00AE0AFE"/>
    <w:rsid w:val="00AE1F79"/>
    <w:rsid w:val="00AE2A16"/>
    <w:rsid w:val="00AE37B3"/>
    <w:rsid w:val="00AE4520"/>
    <w:rsid w:val="00AE4971"/>
    <w:rsid w:val="00AE4B48"/>
    <w:rsid w:val="00AE7A63"/>
    <w:rsid w:val="00AF1A0D"/>
    <w:rsid w:val="00AF28A2"/>
    <w:rsid w:val="00AF337A"/>
    <w:rsid w:val="00AF3708"/>
    <w:rsid w:val="00AF53E2"/>
    <w:rsid w:val="00B04016"/>
    <w:rsid w:val="00B103A8"/>
    <w:rsid w:val="00B129C7"/>
    <w:rsid w:val="00B145FD"/>
    <w:rsid w:val="00B14A20"/>
    <w:rsid w:val="00B22071"/>
    <w:rsid w:val="00B2209C"/>
    <w:rsid w:val="00B248CD"/>
    <w:rsid w:val="00B26EF3"/>
    <w:rsid w:val="00B3048C"/>
    <w:rsid w:val="00B328F9"/>
    <w:rsid w:val="00B342EE"/>
    <w:rsid w:val="00B365C8"/>
    <w:rsid w:val="00B41083"/>
    <w:rsid w:val="00B412E4"/>
    <w:rsid w:val="00B45647"/>
    <w:rsid w:val="00B461BC"/>
    <w:rsid w:val="00B46624"/>
    <w:rsid w:val="00B50796"/>
    <w:rsid w:val="00B51C9C"/>
    <w:rsid w:val="00B53F9C"/>
    <w:rsid w:val="00B54575"/>
    <w:rsid w:val="00B547EB"/>
    <w:rsid w:val="00B54E65"/>
    <w:rsid w:val="00B5575C"/>
    <w:rsid w:val="00B56E4C"/>
    <w:rsid w:val="00B57912"/>
    <w:rsid w:val="00B60014"/>
    <w:rsid w:val="00B60BB7"/>
    <w:rsid w:val="00B64616"/>
    <w:rsid w:val="00B71D38"/>
    <w:rsid w:val="00B7253C"/>
    <w:rsid w:val="00B72D82"/>
    <w:rsid w:val="00B73986"/>
    <w:rsid w:val="00B759EF"/>
    <w:rsid w:val="00B7671E"/>
    <w:rsid w:val="00B76D5F"/>
    <w:rsid w:val="00B7717C"/>
    <w:rsid w:val="00B77895"/>
    <w:rsid w:val="00B8037B"/>
    <w:rsid w:val="00B81BDD"/>
    <w:rsid w:val="00B8526B"/>
    <w:rsid w:val="00B90836"/>
    <w:rsid w:val="00B92216"/>
    <w:rsid w:val="00B934D5"/>
    <w:rsid w:val="00B95FA7"/>
    <w:rsid w:val="00B96319"/>
    <w:rsid w:val="00B97A90"/>
    <w:rsid w:val="00BA1D66"/>
    <w:rsid w:val="00BA2103"/>
    <w:rsid w:val="00BA2213"/>
    <w:rsid w:val="00BA3BF1"/>
    <w:rsid w:val="00BA43CA"/>
    <w:rsid w:val="00BA4F69"/>
    <w:rsid w:val="00BA58B6"/>
    <w:rsid w:val="00BA6BBF"/>
    <w:rsid w:val="00BA76B9"/>
    <w:rsid w:val="00BB01F8"/>
    <w:rsid w:val="00BB1338"/>
    <w:rsid w:val="00BB69FF"/>
    <w:rsid w:val="00BC0A05"/>
    <w:rsid w:val="00BC21EE"/>
    <w:rsid w:val="00BC23ED"/>
    <w:rsid w:val="00BC46EA"/>
    <w:rsid w:val="00BC52B2"/>
    <w:rsid w:val="00BC5A86"/>
    <w:rsid w:val="00BC67CD"/>
    <w:rsid w:val="00BD3B8D"/>
    <w:rsid w:val="00BE0231"/>
    <w:rsid w:val="00BE0BC1"/>
    <w:rsid w:val="00BE1E75"/>
    <w:rsid w:val="00BE33FD"/>
    <w:rsid w:val="00BE5930"/>
    <w:rsid w:val="00BE5BE2"/>
    <w:rsid w:val="00BE6638"/>
    <w:rsid w:val="00BE74F4"/>
    <w:rsid w:val="00BF2E3B"/>
    <w:rsid w:val="00BF5E81"/>
    <w:rsid w:val="00BF78DD"/>
    <w:rsid w:val="00C00C28"/>
    <w:rsid w:val="00C01C3D"/>
    <w:rsid w:val="00C02597"/>
    <w:rsid w:val="00C061D9"/>
    <w:rsid w:val="00C06A76"/>
    <w:rsid w:val="00C07A16"/>
    <w:rsid w:val="00C1757C"/>
    <w:rsid w:val="00C226EC"/>
    <w:rsid w:val="00C23589"/>
    <w:rsid w:val="00C23CB6"/>
    <w:rsid w:val="00C24FDE"/>
    <w:rsid w:val="00C30F06"/>
    <w:rsid w:val="00C33980"/>
    <w:rsid w:val="00C41542"/>
    <w:rsid w:val="00C4527B"/>
    <w:rsid w:val="00C45CB8"/>
    <w:rsid w:val="00C5207B"/>
    <w:rsid w:val="00C56BCE"/>
    <w:rsid w:val="00C57707"/>
    <w:rsid w:val="00C60754"/>
    <w:rsid w:val="00C60AE7"/>
    <w:rsid w:val="00C60B0B"/>
    <w:rsid w:val="00C60BA5"/>
    <w:rsid w:val="00C60C3D"/>
    <w:rsid w:val="00C60FE9"/>
    <w:rsid w:val="00C610D2"/>
    <w:rsid w:val="00C614D3"/>
    <w:rsid w:val="00C62104"/>
    <w:rsid w:val="00C62530"/>
    <w:rsid w:val="00C62EA5"/>
    <w:rsid w:val="00C630FA"/>
    <w:rsid w:val="00C6456D"/>
    <w:rsid w:val="00C6667B"/>
    <w:rsid w:val="00C712E7"/>
    <w:rsid w:val="00C75157"/>
    <w:rsid w:val="00C802BC"/>
    <w:rsid w:val="00C8289E"/>
    <w:rsid w:val="00C83A33"/>
    <w:rsid w:val="00C85E11"/>
    <w:rsid w:val="00C86387"/>
    <w:rsid w:val="00C91609"/>
    <w:rsid w:val="00C9377D"/>
    <w:rsid w:val="00CA0631"/>
    <w:rsid w:val="00CA0808"/>
    <w:rsid w:val="00CA1AFB"/>
    <w:rsid w:val="00CA274C"/>
    <w:rsid w:val="00CA4184"/>
    <w:rsid w:val="00CA4EC9"/>
    <w:rsid w:val="00CA6646"/>
    <w:rsid w:val="00CA6E8C"/>
    <w:rsid w:val="00CB14A0"/>
    <w:rsid w:val="00CB1C3D"/>
    <w:rsid w:val="00CB4E33"/>
    <w:rsid w:val="00CB50EE"/>
    <w:rsid w:val="00CB6C43"/>
    <w:rsid w:val="00CB735D"/>
    <w:rsid w:val="00CB7656"/>
    <w:rsid w:val="00CB7739"/>
    <w:rsid w:val="00CC0605"/>
    <w:rsid w:val="00CC0B64"/>
    <w:rsid w:val="00CC0C87"/>
    <w:rsid w:val="00CC14F8"/>
    <w:rsid w:val="00CC27B8"/>
    <w:rsid w:val="00CC29CD"/>
    <w:rsid w:val="00CC488D"/>
    <w:rsid w:val="00CC5855"/>
    <w:rsid w:val="00CC63AC"/>
    <w:rsid w:val="00CD0AD6"/>
    <w:rsid w:val="00CD0FB8"/>
    <w:rsid w:val="00CD12B4"/>
    <w:rsid w:val="00CD159D"/>
    <w:rsid w:val="00CD1D4A"/>
    <w:rsid w:val="00CD32FF"/>
    <w:rsid w:val="00CD3D4B"/>
    <w:rsid w:val="00CD467F"/>
    <w:rsid w:val="00CD51FE"/>
    <w:rsid w:val="00CD5716"/>
    <w:rsid w:val="00CD5F60"/>
    <w:rsid w:val="00CD60D2"/>
    <w:rsid w:val="00CD79E8"/>
    <w:rsid w:val="00CE0154"/>
    <w:rsid w:val="00CE2069"/>
    <w:rsid w:val="00CE2447"/>
    <w:rsid w:val="00CE2878"/>
    <w:rsid w:val="00CE3A0E"/>
    <w:rsid w:val="00CE68B4"/>
    <w:rsid w:val="00CE6FF7"/>
    <w:rsid w:val="00CF0901"/>
    <w:rsid w:val="00CF0931"/>
    <w:rsid w:val="00CF6017"/>
    <w:rsid w:val="00CF71E0"/>
    <w:rsid w:val="00D028CC"/>
    <w:rsid w:val="00D02EBB"/>
    <w:rsid w:val="00D05431"/>
    <w:rsid w:val="00D059A6"/>
    <w:rsid w:val="00D07F6B"/>
    <w:rsid w:val="00D10B3C"/>
    <w:rsid w:val="00D12900"/>
    <w:rsid w:val="00D13827"/>
    <w:rsid w:val="00D144DF"/>
    <w:rsid w:val="00D14EC6"/>
    <w:rsid w:val="00D209D6"/>
    <w:rsid w:val="00D21E9E"/>
    <w:rsid w:val="00D22807"/>
    <w:rsid w:val="00D30B4E"/>
    <w:rsid w:val="00D31070"/>
    <w:rsid w:val="00D3174C"/>
    <w:rsid w:val="00D3339A"/>
    <w:rsid w:val="00D33617"/>
    <w:rsid w:val="00D33B4F"/>
    <w:rsid w:val="00D357BE"/>
    <w:rsid w:val="00D35C28"/>
    <w:rsid w:val="00D35E3F"/>
    <w:rsid w:val="00D36105"/>
    <w:rsid w:val="00D36289"/>
    <w:rsid w:val="00D362F9"/>
    <w:rsid w:val="00D37170"/>
    <w:rsid w:val="00D42BA1"/>
    <w:rsid w:val="00D430BE"/>
    <w:rsid w:val="00D458C5"/>
    <w:rsid w:val="00D4683E"/>
    <w:rsid w:val="00D51CA5"/>
    <w:rsid w:val="00D52A64"/>
    <w:rsid w:val="00D55062"/>
    <w:rsid w:val="00D5506F"/>
    <w:rsid w:val="00D57538"/>
    <w:rsid w:val="00D57786"/>
    <w:rsid w:val="00D57839"/>
    <w:rsid w:val="00D626DC"/>
    <w:rsid w:val="00D638E0"/>
    <w:rsid w:val="00D63ED6"/>
    <w:rsid w:val="00D64B47"/>
    <w:rsid w:val="00D64E62"/>
    <w:rsid w:val="00D650A6"/>
    <w:rsid w:val="00D65FFD"/>
    <w:rsid w:val="00D71FC2"/>
    <w:rsid w:val="00D735BA"/>
    <w:rsid w:val="00D73682"/>
    <w:rsid w:val="00D75A49"/>
    <w:rsid w:val="00D75EF0"/>
    <w:rsid w:val="00D80F01"/>
    <w:rsid w:val="00D84BA6"/>
    <w:rsid w:val="00D85B86"/>
    <w:rsid w:val="00D95324"/>
    <w:rsid w:val="00D965FD"/>
    <w:rsid w:val="00DA1C77"/>
    <w:rsid w:val="00DA289D"/>
    <w:rsid w:val="00DA5D54"/>
    <w:rsid w:val="00DA5DA9"/>
    <w:rsid w:val="00DB023C"/>
    <w:rsid w:val="00DB2DDE"/>
    <w:rsid w:val="00DB6919"/>
    <w:rsid w:val="00DC5416"/>
    <w:rsid w:val="00DC6C44"/>
    <w:rsid w:val="00DD093B"/>
    <w:rsid w:val="00DD0AE3"/>
    <w:rsid w:val="00DD1208"/>
    <w:rsid w:val="00DD1DBD"/>
    <w:rsid w:val="00DD24FA"/>
    <w:rsid w:val="00DD58D3"/>
    <w:rsid w:val="00DD73F2"/>
    <w:rsid w:val="00DD76A6"/>
    <w:rsid w:val="00DD78AE"/>
    <w:rsid w:val="00DE143D"/>
    <w:rsid w:val="00DE236E"/>
    <w:rsid w:val="00DE3218"/>
    <w:rsid w:val="00DE4B21"/>
    <w:rsid w:val="00DE6187"/>
    <w:rsid w:val="00DE6618"/>
    <w:rsid w:val="00DE6929"/>
    <w:rsid w:val="00DE7546"/>
    <w:rsid w:val="00DF1E32"/>
    <w:rsid w:val="00DF503F"/>
    <w:rsid w:val="00DF6DD9"/>
    <w:rsid w:val="00E00794"/>
    <w:rsid w:val="00E01591"/>
    <w:rsid w:val="00E01D64"/>
    <w:rsid w:val="00E02866"/>
    <w:rsid w:val="00E03CAB"/>
    <w:rsid w:val="00E0481F"/>
    <w:rsid w:val="00E04BDD"/>
    <w:rsid w:val="00E055C8"/>
    <w:rsid w:val="00E058B3"/>
    <w:rsid w:val="00E067CB"/>
    <w:rsid w:val="00E079CA"/>
    <w:rsid w:val="00E07D59"/>
    <w:rsid w:val="00E10A2C"/>
    <w:rsid w:val="00E115CB"/>
    <w:rsid w:val="00E12744"/>
    <w:rsid w:val="00E134E1"/>
    <w:rsid w:val="00E1486B"/>
    <w:rsid w:val="00E14EF2"/>
    <w:rsid w:val="00E17C93"/>
    <w:rsid w:val="00E20273"/>
    <w:rsid w:val="00E206BF"/>
    <w:rsid w:val="00E214F6"/>
    <w:rsid w:val="00E22EF5"/>
    <w:rsid w:val="00E24605"/>
    <w:rsid w:val="00E25389"/>
    <w:rsid w:val="00E27B44"/>
    <w:rsid w:val="00E303E0"/>
    <w:rsid w:val="00E30EC8"/>
    <w:rsid w:val="00E32006"/>
    <w:rsid w:val="00E32724"/>
    <w:rsid w:val="00E32EAB"/>
    <w:rsid w:val="00E34608"/>
    <w:rsid w:val="00E3571E"/>
    <w:rsid w:val="00E37722"/>
    <w:rsid w:val="00E40F4E"/>
    <w:rsid w:val="00E426A4"/>
    <w:rsid w:val="00E43475"/>
    <w:rsid w:val="00E43ACD"/>
    <w:rsid w:val="00E44879"/>
    <w:rsid w:val="00E45250"/>
    <w:rsid w:val="00E46891"/>
    <w:rsid w:val="00E47317"/>
    <w:rsid w:val="00E50779"/>
    <w:rsid w:val="00E51ECC"/>
    <w:rsid w:val="00E523FA"/>
    <w:rsid w:val="00E52637"/>
    <w:rsid w:val="00E5300B"/>
    <w:rsid w:val="00E53E23"/>
    <w:rsid w:val="00E544DD"/>
    <w:rsid w:val="00E56DC1"/>
    <w:rsid w:val="00E57E4B"/>
    <w:rsid w:val="00E600EB"/>
    <w:rsid w:val="00E60D5B"/>
    <w:rsid w:val="00E61AA6"/>
    <w:rsid w:val="00E6717C"/>
    <w:rsid w:val="00E70B1D"/>
    <w:rsid w:val="00E72F97"/>
    <w:rsid w:val="00E73D24"/>
    <w:rsid w:val="00E7433D"/>
    <w:rsid w:val="00E7446C"/>
    <w:rsid w:val="00E75315"/>
    <w:rsid w:val="00E75C37"/>
    <w:rsid w:val="00E765C6"/>
    <w:rsid w:val="00E76918"/>
    <w:rsid w:val="00E77B85"/>
    <w:rsid w:val="00E80804"/>
    <w:rsid w:val="00E849D3"/>
    <w:rsid w:val="00E868B7"/>
    <w:rsid w:val="00E877B4"/>
    <w:rsid w:val="00E92E97"/>
    <w:rsid w:val="00E94410"/>
    <w:rsid w:val="00E95684"/>
    <w:rsid w:val="00E95E29"/>
    <w:rsid w:val="00E97ACD"/>
    <w:rsid w:val="00EA1B5A"/>
    <w:rsid w:val="00EA2A2E"/>
    <w:rsid w:val="00EA30B1"/>
    <w:rsid w:val="00EA7105"/>
    <w:rsid w:val="00EB0376"/>
    <w:rsid w:val="00EB116A"/>
    <w:rsid w:val="00EB1195"/>
    <w:rsid w:val="00EB20C0"/>
    <w:rsid w:val="00EB2D84"/>
    <w:rsid w:val="00EB3351"/>
    <w:rsid w:val="00EB3741"/>
    <w:rsid w:val="00EB4245"/>
    <w:rsid w:val="00EB4638"/>
    <w:rsid w:val="00EB57DE"/>
    <w:rsid w:val="00EB5A48"/>
    <w:rsid w:val="00EB6716"/>
    <w:rsid w:val="00EC028B"/>
    <w:rsid w:val="00EC0B39"/>
    <w:rsid w:val="00EC1D50"/>
    <w:rsid w:val="00EC1FE8"/>
    <w:rsid w:val="00EC2694"/>
    <w:rsid w:val="00EC345D"/>
    <w:rsid w:val="00EC5528"/>
    <w:rsid w:val="00EC57B0"/>
    <w:rsid w:val="00EC5B25"/>
    <w:rsid w:val="00EC7A0C"/>
    <w:rsid w:val="00ED13F3"/>
    <w:rsid w:val="00ED1436"/>
    <w:rsid w:val="00ED1BCE"/>
    <w:rsid w:val="00ED27BF"/>
    <w:rsid w:val="00ED362D"/>
    <w:rsid w:val="00EE0033"/>
    <w:rsid w:val="00EE0E7F"/>
    <w:rsid w:val="00EE1A30"/>
    <w:rsid w:val="00EE1A55"/>
    <w:rsid w:val="00EE2C65"/>
    <w:rsid w:val="00EE3448"/>
    <w:rsid w:val="00EE34AE"/>
    <w:rsid w:val="00EE4771"/>
    <w:rsid w:val="00EE5D57"/>
    <w:rsid w:val="00EE61C3"/>
    <w:rsid w:val="00EE6C6E"/>
    <w:rsid w:val="00EE70BF"/>
    <w:rsid w:val="00EE79CC"/>
    <w:rsid w:val="00EF1F25"/>
    <w:rsid w:val="00EF5223"/>
    <w:rsid w:val="00EF61BF"/>
    <w:rsid w:val="00EF7733"/>
    <w:rsid w:val="00F010D6"/>
    <w:rsid w:val="00F01810"/>
    <w:rsid w:val="00F01A38"/>
    <w:rsid w:val="00F0243F"/>
    <w:rsid w:val="00F0330D"/>
    <w:rsid w:val="00F036DB"/>
    <w:rsid w:val="00F05786"/>
    <w:rsid w:val="00F05937"/>
    <w:rsid w:val="00F05D61"/>
    <w:rsid w:val="00F06F34"/>
    <w:rsid w:val="00F07589"/>
    <w:rsid w:val="00F107DD"/>
    <w:rsid w:val="00F11A82"/>
    <w:rsid w:val="00F11B2C"/>
    <w:rsid w:val="00F123A4"/>
    <w:rsid w:val="00F1292E"/>
    <w:rsid w:val="00F13E56"/>
    <w:rsid w:val="00F14049"/>
    <w:rsid w:val="00F17164"/>
    <w:rsid w:val="00F216A0"/>
    <w:rsid w:val="00F23252"/>
    <w:rsid w:val="00F232DB"/>
    <w:rsid w:val="00F23C0E"/>
    <w:rsid w:val="00F27F43"/>
    <w:rsid w:val="00F30836"/>
    <w:rsid w:val="00F31724"/>
    <w:rsid w:val="00F31901"/>
    <w:rsid w:val="00F31992"/>
    <w:rsid w:val="00F32340"/>
    <w:rsid w:val="00F33606"/>
    <w:rsid w:val="00F33854"/>
    <w:rsid w:val="00F35C84"/>
    <w:rsid w:val="00F37ACF"/>
    <w:rsid w:val="00F400BF"/>
    <w:rsid w:val="00F41CB2"/>
    <w:rsid w:val="00F43EDB"/>
    <w:rsid w:val="00F50DF2"/>
    <w:rsid w:val="00F56BF2"/>
    <w:rsid w:val="00F62061"/>
    <w:rsid w:val="00F63C75"/>
    <w:rsid w:val="00F6462F"/>
    <w:rsid w:val="00F64B5D"/>
    <w:rsid w:val="00F65506"/>
    <w:rsid w:val="00F65BBF"/>
    <w:rsid w:val="00F66260"/>
    <w:rsid w:val="00F6692E"/>
    <w:rsid w:val="00F713B6"/>
    <w:rsid w:val="00F71E1A"/>
    <w:rsid w:val="00F73B39"/>
    <w:rsid w:val="00F7425E"/>
    <w:rsid w:val="00F75243"/>
    <w:rsid w:val="00F75EA0"/>
    <w:rsid w:val="00F769F6"/>
    <w:rsid w:val="00F77733"/>
    <w:rsid w:val="00F81887"/>
    <w:rsid w:val="00F82271"/>
    <w:rsid w:val="00F82631"/>
    <w:rsid w:val="00F83E63"/>
    <w:rsid w:val="00F85466"/>
    <w:rsid w:val="00F8725E"/>
    <w:rsid w:val="00F90199"/>
    <w:rsid w:val="00F95252"/>
    <w:rsid w:val="00F964B4"/>
    <w:rsid w:val="00F96990"/>
    <w:rsid w:val="00F97714"/>
    <w:rsid w:val="00FA415E"/>
    <w:rsid w:val="00FA4EB1"/>
    <w:rsid w:val="00FA58ED"/>
    <w:rsid w:val="00FA5FFC"/>
    <w:rsid w:val="00FA7312"/>
    <w:rsid w:val="00FB38AB"/>
    <w:rsid w:val="00FB447E"/>
    <w:rsid w:val="00FB4EB3"/>
    <w:rsid w:val="00FB5535"/>
    <w:rsid w:val="00FC167B"/>
    <w:rsid w:val="00FC1D5C"/>
    <w:rsid w:val="00FC3620"/>
    <w:rsid w:val="00FC5368"/>
    <w:rsid w:val="00FC76FD"/>
    <w:rsid w:val="00FD2297"/>
    <w:rsid w:val="00FD3B83"/>
    <w:rsid w:val="00FE0209"/>
    <w:rsid w:val="00FE4396"/>
    <w:rsid w:val="00FE5FF8"/>
    <w:rsid w:val="00FE7CAE"/>
    <w:rsid w:val="00FF162A"/>
    <w:rsid w:val="00FF2FB2"/>
    <w:rsid w:val="00FF7326"/>
    <w:rsid w:val="00FF7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A759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3B1A"/>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EA6"/>
    <w:pPr>
      <w:ind w:left="720"/>
      <w:contextualSpacing/>
    </w:pPr>
    <w:rPr>
      <w:rFonts w:asciiTheme="minorHAnsi" w:hAnsiTheme="minorHAnsi" w:cstheme="minorBidi"/>
    </w:rPr>
  </w:style>
  <w:style w:type="character" w:styleId="Hyperlink">
    <w:name w:val="Hyperlink"/>
    <w:basedOn w:val="DefaultParagraphFont"/>
    <w:uiPriority w:val="99"/>
    <w:unhideWhenUsed/>
    <w:rsid w:val="00C33980"/>
    <w:rPr>
      <w:color w:val="0563C1" w:themeColor="hyperlink"/>
      <w:u w:val="single"/>
    </w:rPr>
  </w:style>
  <w:style w:type="paragraph" w:styleId="NormalWeb">
    <w:name w:val="Normal (Web)"/>
    <w:basedOn w:val="Normal"/>
    <w:uiPriority w:val="99"/>
    <w:semiHidden/>
    <w:unhideWhenUsed/>
    <w:rsid w:val="006A489A"/>
    <w:pPr>
      <w:spacing w:before="100" w:beforeAutospacing="1" w:after="100" w:afterAutospacing="1"/>
    </w:pPr>
  </w:style>
  <w:style w:type="paragraph" w:customStyle="1" w:styleId="Default">
    <w:name w:val="Default"/>
    <w:rsid w:val="000D4D0C"/>
    <w:pPr>
      <w:autoSpaceDE w:val="0"/>
      <w:autoSpaceDN w:val="0"/>
      <w:adjustRightInd w:val="0"/>
    </w:pPr>
    <w:rPr>
      <w:rFonts w:ascii="Times New Roman" w:hAnsi="Times New Roman" w:cs="Times New Roman"/>
      <w:color w:val="000000"/>
    </w:rPr>
  </w:style>
  <w:style w:type="character" w:styleId="CommentReference">
    <w:name w:val="annotation reference"/>
    <w:basedOn w:val="DefaultParagraphFont"/>
    <w:uiPriority w:val="99"/>
    <w:semiHidden/>
    <w:unhideWhenUsed/>
    <w:rsid w:val="009D6CBA"/>
    <w:rPr>
      <w:sz w:val="16"/>
      <w:szCs w:val="16"/>
    </w:rPr>
  </w:style>
  <w:style w:type="paragraph" w:styleId="CommentText">
    <w:name w:val="annotation text"/>
    <w:basedOn w:val="Normal"/>
    <w:link w:val="CommentTextChar"/>
    <w:uiPriority w:val="99"/>
    <w:semiHidden/>
    <w:unhideWhenUsed/>
    <w:rsid w:val="009D6CBA"/>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D6CBA"/>
    <w:rPr>
      <w:sz w:val="20"/>
      <w:szCs w:val="20"/>
    </w:rPr>
  </w:style>
  <w:style w:type="paragraph" w:styleId="CommentSubject">
    <w:name w:val="annotation subject"/>
    <w:basedOn w:val="CommentText"/>
    <w:next w:val="CommentText"/>
    <w:link w:val="CommentSubjectChar"/>
    <w:uiPriority w:val="99"/>
    <w:semiHidden/>
    <w:unhideWhenUsed/>
    <w:rsid w:val="009D6CBA"/>
    <w:rPr>
      <w:b/>
      <w:bCs/>
    </w:rPr>
  </w:style>
  <w:style w:type="character" w:customStyle="1" w:styleId="CommentSubjectChar">
    <w:name w:val="Comment Subject Char"/>
    <w:basedOn w:val="CommentTextChar"/>
    <w:link w:val="CommentSubject"/>
    <w:uiPriority w:val="99"/>
    <w:semiHidden/>
    <w:rsid w:val="009D6CBA"/>
    <w:rPr>
      <w:b/>
      <w:bCs/>
      <w:sz w:val="20"/>
      <w:szCs w:val="20"/>
    </w:rPr>
  </w:style>
  <w:style w:type="paragraph" w:styleId="BalloonText">
    <w:name w:val="Balloon Text"/>
    <w:basedOn w:val="Normal"/>
    <w:link w:val="BalloonTextChar"/>
    <w:uiPriority w:val="99"/>
    <w:semiHidden/>
    <w:unhideWhenUsed/>
    <w:rsid w:val="009D6CBA"/>
    <w:rPr>
      <w:sz w:val="18"/>
      <w:szCs w:val="18"/>
    </w:rPr>
  </w:style>
  <w:style w:type="character" w:customStyle="1" w:styleId="BalloonTextChar">
    <w:name w:val="Balloon Text Char"/>
    <w:basedOn w:val="DefaultParagraphFont"/>
    <w:link w:val="BalloonText"/>
    <w:uiPriority w:val="99"/>
    <w:semiHidden/>
    <w:rsid w:val="009D6CBA"/>
    <w:rPr>
      <w:rFonts w:ascii="Times New Roman" w:hAnsi="Times New Roman" w:cs="Times New Roman"/>
      <w:sz w:val="18"/>
      <w:szCs w:val="18"/>
    </w:rPr>
  </w:style>
  <w:style w:type="table" w:styleId="TableGrid">
    <w:name w:val="Table Grid"/>
    <w:basedOn w:val="TableNormal"/>
    <w:uiPriority w:val="39"/>
    <w:rsid w:val="00585E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F698F"/>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7F698F"/>
  </w:style>
  <w:style w:type="paragraph" w:styleId="Footer">
    <w:name w:val="footer"/>
    <w:basedOn w:val="Normal"/>
    <w:link w:val="FooterChar"/>
    <w:uiPriority w:val="99"/>
    <w:unhideWhenUsed/>
    <w:rsid w:val="007F698F"/>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7F698F"/>
  </w:style>
  <w:style w:type="paragraph" w:styleId="Revision">
    <w:name w:val="Revision"/>
    <w:hidden/>
    <w:uiPriority w:val="99"/>
    <w:semiHidden/>
    <w:rsid w:val="00D55062"/>
  </w:style>
  <w:style w:type="table" w:styleId="GridTable1Light">
    <w:name w:val="Grid Table 1 Light"/>
    <w:basedOn w:val="TableNormal"/>
    <w:uiPriority w:val="46"/>
    <w:rsid w:val="00400919"/>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400919"/>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400919"/>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400919"/>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PlainTable1">
    <w:name w:val="Plain Table 1"/>
    <w:basedOn w:val="TableNormal"/>
    <w:uiPriority w:val="41"/>
    <w:rsid w:val="00400919"/>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0091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00919"/>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1">
    <w:name w:val="Grid Table 1 Light Accent 1"/>
    <w:basedOn w:val="TableNormal"/>
    <w:uiPriority w:val="46"/>
    <w:rsid w:val="00400919"/>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00919"/>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00919"/>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00919"/>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00919"/>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00919"/>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00919"/>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00919"/>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3">
    <w:name w:val="Grid Table 3"/>
    <w:basedOn w:val="TableNormal"/>
    <w:uiPriority w:val="48"/>
    <w:rsid w:val="00400919"/>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00919"/>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400919"/>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4-Accent3">
    <w:name w:val="Grid Table 4 Accent 3"/>
    <w:basedOn w:val="TableNormal"/>
    <w:uiPriority w:val="49"/>
    <w:rsid w:val="00400919"/>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
    <w:name w:val="Grid Table 4"/>
    <w:basedOn w:val="TableNormal"/>
    <w:uiPriority w:val="49"/>
    <w:rsid w:val="00400919"/>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uiPriority w:val="49"/>
    <w:rsid w:val="00400919"/>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1">
    <w:name w:val="Grid Table 4 Accent 1"/>
    <w:basedOn w:val="TableNormal"/>
    <w:uiPriority w:val="49"/>
    <w:rsid w:val="00400919"/>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5Dark-Accent3">
    <w:name w:val="Grid Table 5 Dark Accent 3"/>
    <w:basedOn w:val="TableNormal"/>
    <w:uiPriority w:val="50"/>
    <w:rsid w:val="0040091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1">
    <w:name w:val="Grid Table 5 Dark Accent 1"/>
    <w:basedOn w:val="TableNormal"/>
    <w:uiPriority w:val="50"/>
    <w:rsid w:val="0040091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
    <w:name w:val="Grid Table 5 Dark"/>
    <w:basedOn w:val="TableNormal"/>
    <w:uiPriority w:val="50"/>
    <w:rsid w:val="0040091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Accent6">
    <w:name w:val="Grid Table 4 Accent 6"/>
    <w:basedOn w:val="TableNormal"/>
    <w:uiPriority w:val="49"/>
    <w:rsid w:val="00400919"/>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4">
    <w:name w:val="Grid Table 5 Dark Accent 4"/>
    <w:basedOn w:val="TableNormal"/>
    <w:uiPriority w:val="50"/>
    <w:rsid w:val="0040091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6Colorful-Accent5">
    <w:name w:val="Grid Table 6 Colorful Accent 5"/>
    <w:basedOn w:val="TableNormal"/>
    <w:uiPriority w:val="51"/>
    <w:rsid w:val="00400919"/>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3">
    <w:name w:val="Grid Table 6 Colorful Accent 3"/>
    <w:basedOn w:val="TableNormal"/>
    <w:uiPriority w:val="51"/>
    <w:rsid w:val="00400919"/>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
    <w:name w:val="Grid Table 6 Colorful"/>
    <w:basedOn w:val="TableNormal"/>
    <w:uiPriority w:val="51"/>
    <w:rsid w:val="00400919"/>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400919"/>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
    <w:name w:val="List Table 3"/>
    <w:basedOn w:val="TableNormal"/>
    <w:uiPriority w:val="48"/>
    <w:rsid w:val="0040091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0091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4-Accent1">
    <w:name w:val="List Table 4 Accent 1"/>
    <w:basedOn w:val="TableNormal"/>
    <w:uiPriority w:val="49"/>
    <w:rsid w:val="00400919"/>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5Dark-Accent3">
    <w:name w:val="List Table 5 Dark Accent 3"/>
    <w:basedOn w:val="TableNormal"/>
    <w:uiPriority w:val="50"/>
    <w:rsid w:val="00400919"/>
    <w:rPr>
      <w:color w:val="FFFFFF" w:themeColor="background1"/>
    </w:rPr>
    <w:tblPr>
      <w:tblStyleRowBandSize w:val="1"/>
      <w:tblStyleColBandSize w:val="1"/>
      <w:tblInd w:w="0" w:type="dxa"/>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CellMar>
        <w:top w:w="0" w:type="dxa"/>
        <w:left w:w="108" w:type="dxa"/>
        <w:bottom w:w="0" w:type="dxa"/>
        <w:right w:w="108" w:type="dxa"/>
      </w:tblCellMar>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3">
    <w:name w:val="List Table 6 Colorful Accent 3"/>
    <w:basedOn w:val="TableNormal"/>
    <w:uiPriority w:val="51"/>
    <w:rsid w:val="00400919"/>
    <w:rPr>
      <w:color w:val="7B7B7B" w:themeColor="accent3" w:themeShade="BF"/>
    </w:rPr>
    <w:tblPr>
      <w:tblStyleRowBandSize w:val="1"/>
      <w:tblStyleColBandSize w:val="1"/>
      <w:tblInd w:w="0" w:type="dxa"/>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7Colorful-Accent5">
    <w:name w:val="List Table 7 Colorful Accent 5"/>
    <w:basedOn w:val="TableNormal"/>
    <w:uiPriority w:val="52"/>
    <w:rsid w:val="00400919"/>
    <w:rPr>
      <w:color w:val="2F5496"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Emphasis">
    <w:name w:val="Emphasis"/>
    <w:basedOn w:val="DefaultParagraphFont"/>
    <w:uiPriority w:val="20"/>
    <w:qFormat/>
    <w:rsid w:val="00AB54CD"/>
    <w:rPr>
      <w:i/>
      <w:iCs/>
    </w:rPr>
  </w:style>
  <w:style w:type="character" w:styleId="FollowedHyperlink">
    <w:name w:val="FollowedHyperlink"/>
    <w:basedOn w:val="DefaultParagraphFont"/>
    <w:uiPriority w:val="99"/>
    <w:semiHidden/>
    <w:unhideWhenUsed/>
    <w:rsid w:val="009E296A"/>
    <w:rPr>
      <w:color w:val="954F72" w:themeColor="followedHyperlink"/>
      <w:u w:val="single"/>
    </w:rPr>
  </w:style>
  <w:style w:type="paragraph" w:customStyle="1" w:styleId="yiv7144802030gmail-p1">
    <w:name w:val="yiv7144802030gmail-p1"/>
    <w:basedOn w:val="Normal"/>
    <w:rsid w:val="006E0DB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28975">
      <w:bodyDiv w:val="1"/>
      <w:marLeft w:val="0"/>
      <w:marRight w:val="0"/>
      <w:marTop w:val="0"/>
      <w:marBottom w:val="0"/>
      <w:divBdr>
        <w:top w:val="none" w:sz="0" w:space="0" w:color="auto"/>
        <w:left w:val="none" w:sz="0" w:space="0" w:color="auto"/>
        <w:bottom w:val="none" w:sz="0" w:space="0" w:color="auto"/>
        <w:right w:val="none" w:sz="0" w:space="0" w:color="auto"/>
      </w:divBdr>
    </w:div>
    <w:div w:id="195625539">
      <w:bodyDiv w:val="1"/>
      <w:marLeft w:val="0"/>
      <w:marRight w:val="0"/>
      <w:marTop w:val="0"/>
      <w:marBottom w:val="0"/>
      <w:divBdr>
        <w:top w:val="none" w:sz="0" w:space="0" w:color="auto"/>
        <w:left w:val="none" w:sz="0" w:space="0" w:color="auto"/>
        <w:bottom w:val="none" w:sz="0" w:space="0" w:color="auto"/>
        <w:right w:val="none" w:sz="0" w:space="0" w:color="auto"/>
      </w:divBdr>
    </w:div>
    <w:div w:id="240259301">
      <w:bodyDiv w:val="1"/>
      <w:marLeft w:val="0"/>
      <w:marRight w:val="0"/>
      <w:marTop w:val="0"/>
      <w:marBottom w:val="0"/>
      <w:divBdr>
        <w:top w:val="none" w:sz="0" w:space="0" w:color="auto"/>
        <w:left w:val="none" w:sz="0" w:space="0" w:color="auto"/>
        <w:bottom w:val="none" w:sz="0" w:space="0" w:color="auto"/>
        <w:right w:val="none" w:sz="0" w:space="0" w:color="auto"/>
      </w:divBdr>
    </w:div>
    <w:div w:id="277565779">
      <w:bodyDiv w:val="1"/>
      <w:marLeft w:val="0"/>
      <w:marRight w:val="0"/>
      <w:marTop w:val="0"/>
      <w:marBottom w:val="0"/>
      <w:divBdr>
        <w:top w:val="none" w:sz="0" w:space="0" w:color="auto"/>
        <w:left w:val="none" w:sz="0" w:space="0" w:color="auto"/>
        <w:bottom w:val="none" w:sz="0" w:space="0" w:color="auto"/>
        <w:right w:val="none" w:sz="0" w:space="0" w:color="auto"/>
      </w:divBdr>
    </w:div>
    <w:div w:id="671565274">
      <w:bodyDiv w:val="1"/>
      <w:marLeft w:val="0"/>
      <w:marRight w:val="0"/>
      <w:marTop w:val="0"/>
      <w:marBottom w:val="0"/>
      <w:divBdr>
        <w:top w:val="none" w:sz="0" w:space="0" w:color="auto"/>
        <w:left w:val="none" w:sz="0" w:space="0" w:color="auto"/>
        <w:bottom w:val="none" w:sz="0" w:space="0" w:color="auto"/>
        <w:right w:val="none" w:sz="0" w:space="0" w:color="auto"/>
      </w:divBdr>
    </w:div>
    <w:div w:id="910311745">
      <w:bodyDiv w:val="1"/>
      <w:marLeft w:val="0"/>
      <w:marRight w:val="0"/>
      <w:marTop w:val="0"/>
      <w:marBottom w:val="0"/>
      <w:divBdr>
        <w:top w:val="none" w:sz="0" w:space="0" w:color="auto"/>
        <w:left w:val="none" w:sz="0" w:space="0" w:color="auto"/>
        <w:bottom w:val="none" w:sz="0" w:space="0" w:color="auto"/>
        <w:right w:val="none" w:sz="0" w:space="0" w:color="auto"/>
      </w:divBdr>
    </w:div>
    <w:div w:id="914243637">
      <w:bodyDiv w:val="1"/>
      <w:marLeft w:val="0"/>
      <w:marRight w:val="0"/>
      <w:marTop w:val="0"/>
      <w:marBottom w:val="0"/>
      <w:divBdr>
        <w:top w:val="none" w:sz="0" w:space="0" w:color="auto"/>
        <w:left w:val="none" w:sz="0" w:space="0" w:color="auto"/>
        <w:bottom w:val="none" w:sz="0" w:space="0" w:color="auto"/>
        <w:right w:val="none" w:sz="0" w:space="0" w:color="auto"/>
      </w:divBdr>
    </w:div>
    <w:div w:id="929966099">
      <w:bodyDiv w:val="1"/>
      <w:marLeft w:val="0"/>
      <w:marRight w:val="0"/>
      <w:marTop w:val="0"/>
      <w:marBottom w:val="0"/>
      <w:divBdr>
        <w:top w:val="none" w:sz="0" w:space="0" w:color="auto"/>
        <w:left w:val="none" w:sz="0" w:space="0" w:color="auto"/>
        <w:bottom w:val="none" w:sz="0" w:space="0" w:color="auto"/>
        <w:right w:val="none" w:sz="0" w:space="0" w:color="auto"/>
      </w:divBdr>
    </w:div>
    <w:div w:id="980618300">
      <w:bodyDiv w:val="1"/>
      <w:marLeft w:val="0"/>
      <w:marRight w:val="0"/>
      <w:marTop w:val="0"/>
      <w:marBottom w:val="0"/>
      <w:divBdr>
        <w:top w:val="none" w:sz="0" w:space="0" w:color="auto"/>
        <w:left w:val="none" w:sz="0" w:space="0" w:color="auto"/>
        <w:bottom w:val="none" w:sz="0" w:space="0" w:color="auto"/>
        <w:right w:val="none" w:sz="0" w:space="0" w:color="auto"/>
      </w:divBdr>
    </w:div>
    <w:div w:id="1019545334">
      <w:bodyDiv w:val="1"/>
      <w:marLeft w:val="0"/>
      <w:marRight w:val="0"/>
      <w:marTop w:val="0"/>
      <w:marBottom w:val="0"/>
      <w:divBdr>
        <w:top w:val="none" w:sz="0" w:space="0" w:color="auto"/>
        <w:left w:val="none" w:sz="0" w:space="0" w:color="auto"/>
        <w:bottom w:val="none" w:sz="0" w:space="0" w:color="auto"/>
        <w:right w:val="none" w:sz="0" w:space="0" w:color="auto"/>
      </w:divBdr>
    </w:div>
    <w:div w:id="1037392743">
      <w:bodyDiv w:val="1"/>
      <w:marLeft w:val="0"/>
      <w:marRight w:val="0"/>
      <w:marTop w:val="0"/>
      <w:marBottom w:val="0"/>
      <w:divBdr>
        <w:top w:val="none" w:sz="0" w:space="0" w:color="auto"/>
        <w:left w:val="none" w:sz="0" w:space="0" w:color="auto"/>
        <w:bottom w:val="none" w:sz="0" w:space="0" w:color="auto"/>
        <w:right w:val="none" w:sz="0" w:space="0" w:color="auto"/>
      </w:divBdr>
    </w:div>
    <w:div w:id="1118723735">
      <w:bodyDiv w:val="1"/>
      <w:marLeft w:val="0"/>
      <w:marRight w:val="0"/>
      <w:marTop w:val="0"/>
      <w:marBottom w:val="0"/>
      <w:divBdr>
        <w:top w:val="none" w:sz="0" w:space="0" w:color="auto"/>
        <w:left w:val="none" w:sz="0" w:space="0" w:color="auto"/>
        <w:bottom w:val="none" w:sz="0" w:space="0" w:color="auto"/>
        <w:right w:val="none" w:sz="0" w:space="0" w:color="auto"/>
      </w:divBdr>
    </w:div>
    <w:div w:id="1200625634">
      <w:bodyDiv w:val="1"/>
      <w:marLeft w:val="0"/>
      <w:marRight w:val="0"/>
      <w:marTop w:val="0"/>
      <w:marBottom w:val="0"/>
      <w:divBdr>
        <w:top w:val="none" w:sz="0" w:space="0" w:color="auto"/>
        <w:left w:val="none" w:sz="0" w:space="0" w:color="auto"/>
        <w:bottom w:val="none" w:sz="0" w:space="0" w:color="auto"/>
        <w:right w:val="none" w:sz="0" w:space="0" w:color="auto"/>
      </w:divBdr>
    </w:div>
    <w:div w:id="1262489670">
      <w:bodyDiv w:val="1"/>
      <w:marLeft w:val="0"/>
      <w:marRight w:val="0"/>
      <w:marTop w:val="0"/>
      <w:marBottom w:val="0"/>
      <w:divBdr>
        <w:top w:val="none" w:sz="0" w:space="0" w:color="auto"/>
        <w:left w:val="none" w:sz="0" w:space="0" w:color="auto"/>
        <w:bottom w:val="none" w:sz="0" w:space="0" w:color="auto"/>
        <w:right w:val="none" w:sz="0" w:space="0" w:color="auto"/>
      </w:divBdr>
    </w:div>
    <w:div w:id="1276517823">
      <w:bodyDiv w:val="1"/>
      <w:marLeft w:val="0"/>
      <w:marRight w:val="0"/>
      <w:marTop w:val="0"/>
      <w:marBottom w:val="0"/>
      <w:divBdr>
        <w:top w:val="none" w:sz="0" w:space="0" w:color="auto"/>
        <w:left w:val="none" w:sz="0" w:space="0" w:color="auto"/>
        <w:bottom w:val="none" w:sz="0" w:space="0" w:color="auto"/>
        <w:right w:val="none" w:sz="0" w:space="0" w:color="auto"/>
      </w:divBdr>
    </w:div>
    <w:div w:id="1377199808">
      <w:bodyDiv w:val="1"/>
      <w:marLeft w:val="0"/>
      <w:marRight w:val="0"/>
      <w:marTop w:val="0"/>
      <w:marBottom w:val="0"/>
      <w:divBdr>
        <w:top w:val="none" w:sz="0" w:space="0" w:color="auto"/>
        <w:left w:val="none" w:sz="0" w:space="0" w:color="auto"/>
        <w:bottom w:val="none" w:sz="0" w:space="0" w:color="auto"/>
        <w:right w:val="none" w:sz="0" w:space="0" w:color="auto"/>
      </w:divBdr>
    </w:div>
    <w:div w:id="1394349418">
      <w:bodyDiv w:val="1"/>
      <w:marLeft w:val="0"/>
      <w:marRight w:val="0"/>
      <w:marTop w:val="0"/>
      <w:marBottom w:val="0"/>
      <w:divBdr>
        <w:top w:val="none" w:sz="0" w:space="0" w:color="auto"/>
        <w:left w:val="none" w:sz="0" w:space="0" w:color="auto"/>
        <w:bottom w:val="none" w:sz="0" w:space="0" w:color="auto"/>
        <w:right w:val="none" w:sz="0" w:space="0" w:color="auto"/>
      </w:divBdr>
    </w:div>
    <w:div w:id="1410349623">
      <w:bodyDiv w:val="1"/>
      <w:marLeft w:val="0"/>
      <w:marRight w:val="0"/>
      <w:marTop w:val="0"/>
      <w:marBottom w:val="0"/>
      <w:divBdr>
        <w:top w:val="none" w:sz="0" w:space="0" w:color="auto"/>
        <w:left w:val="none" w:sz="0" w:space="0" w:color="auto"/>
        <w:bottom w:val="none" w:sz="0" w:space="0" w:color="auto"/>
        <w:right w:val="none" w:sz="0" w:space="0" w:color="auto"/>
      </w:divBdr>
    </w:div>
    <w:div w:id="1557279432">
      <w:bodyDiv w:val="1"/>
      <w:marLeft w:val="0"/>
      <w:marRight w:val="0"/>
      <w:marTop w:val="0"/>
      <w:marBottom w:val="0"/>
      <w:divBdr>
        <w:top w:val="none" w:sz="0" w:space="0" w:color="auto"/>
        <w:left w:val="none" w:sz="0" w:space="0" w:color="auto"/>
        <w:bottom w:val="none" w:sz="0" w:space="0" w:color="auto"/>
        <w:right w:val="none" w:sz="0" w:space="0" w:color="auto"/>
      </w:divBdr>
    </w:div>
    <w:div w:id="1587423702">
      <w:bodyDiv w:val="1"/>
      <w:marLeft w:val="0"/>
      <w:marRight w:val="0"/>
      <w:marTop w:val="0"/>
      <w:marBottom w:val="0"/>
      <w:divBdr>
        <w:top w:val="none" w:sz="0" w:space="0" w:color="auto"/>
        <w:left w:val="none" w:sz="0" w:space="0" w:color="auto"/>
        <w:bottom w:val="none" w:sz="0" w:space="0" w:color="auto"/>
        <w:right w:val="none" w:sz="0" w:space="0" w:color="auto"/>
      </w:divBdr>
    </w:div>
    <w:div w:id="1656639556">
      <w:bodyDiv w:val="1"/>
      <w:marLeft w:val="0"/>
      <w:marRight w:val="0"/>
      <w:marTop w:val="0"/>
      <w:marBottom w:val="0"/>
      <w:divBdr>
        <w:top w:val="none" w:sz="0" w:space="0" w:color="auto"/>
        <w:left w:val="none" w:sz="0" w:space="0" w:color="auto"/>
        <w:bottom w:val="none" w:sz="0" w:space="0" w:color="auto"/>
        <w:right w:val="none" w:sz="0" w:space="0" w:color="auto"/>
      </w:divBdr>
    </w:div>
    <w:div w:id="1824202519">
      <w:bodyDiv w:val="1"/>
      <w:marLeft w:val="0"/>
      <w:marRight w:val="0"/>
      <w:marTop w:val="0"/>
      <w:marBottom w:val="0"/>
      <w:divBdr>
        <w:top w:val="none" w:sz="0" w:space="0" w:color="auto"/>
        <w:left w:val="none" w:sz="0" w:space="0" w:color="auto"/>
        <w:bottom w:val="none" w:sz="0" w:space="0" w:color="auto"/>
        <w:right w:val="none" w:sz="0" w:space="0" w:color="auto"/>
      </w:divBdr>
    </w:div>
    <w:div w:id="1849522600">
      <w:bodyDiv w:val="1"/>
      <w:marLeft w:val="0"/>
      <w:marRight w:val="0"/>
      <w:marTop w:val="0"/>
      <w:marBottom w:val="0"/>
      <w:divBdr>
        <w:top w:val="none" w:sz="0" w:space="0" w:color="auto"/>
        <w:left w:val="none" w:sz="0" w:space="0" w:color="auto"/>
        <w:bottom w:val="none" w:sz="0" w:space="0" w:color="auto"/>
        <w:right w:val="none" w:sz="0" w:space="0" w:color="auto"/>
      </w:divBdr>
    </w:div>
    <w:div w:id="1897354226">
      <w:bodyDiv w:val="1"/>
      <w:marLeft w:val="0"/>
      <w:marRight w:val="0"/>
      <w:marTop w:val="0"/>
      <w:marBottom w:val="0"/>
      <w:divBdr>
        <w:top w:val="none" w:sz="0" w:space="0" w:color="auto"/>
        <w:left w:val="none" w:sz="0" w:space="0" w:color="auto"/>
        <w:bottom w:val="none" w:sz="0" w:space="0" w:color="auto"/>
        <w:right w:val="none" w:sz="0" w:space="0" w:color="auto"/>
      </w:divBdr>
    </w:div>
    <w:div w:id="1937010797">
      <w:bodyDiv w:val="1"/>
      <w:marLeft w:val="0"/>
      <w:marRight w:val="0"/>
      <w:marTop w:val="0"/>
      <w:marBottom w:val="0"/>
      <w:divBdr>
        <w:top w:val="none" w:sz="0" w:space="0" w:color="auto"/>
        <w:left w:val="none" w:sz="0" w:space="0" w:color="auto"/>
        <w:bottom w:val="none" w:sz="0" w:space="0" w:color="auto"/>
        <w:right w:val="none" w:sz="0" w:space="0" w:color="auto"/>
      </w:divBdr>
    </w:div>
    <w:div w:id="1973636042">
      <w:bodyDiv w:val="1"/>
      <w:marLeft w:val="0"/>
      <w:marRight w:val="0"/>
      <w:marTop w:val="0"/>
      <w:marBottom w:val="0"/>
      <w:divBdr>
        <w:top w:val="none" w:sz="0" w:space="0" w:color="auto"/>
        <w:left w:val="none" w:sz="0" w:space="0" w:color="auto"/>
        <w:bottom w:val="none" w:sz="0" w:space="0" w:color="auto"/>
        <w:right w:val="none" w:sz="0" w:space="0" w:color="auto"/>
      </w:divBdr>
    </w:div>
    <w:div w:id="2017227175">
      <w:bodyDiv w:val="1"/>
      <w:marLeft w:val="0"/>
      <w:marRight w:val="0"/>
      <w:marTop w:val="0"/>
      <w:marBottom w:val="0"/>
      <w:divBdr>
        <w:top w:val="none" w:sz="0" w:space="0" w:color="auto"/>
        <w:left w:val="none" w:sz="0" w:space="0" w:color="auto"/>
        <w:bottom w:val="none" w:sz="0" w:space="0" w:color="auto"/>
        <w:right w:val="none" w:sz="0" w:space="0" w:color="auto"/>
      </w:divBdr>
    </w:div>
    <w:div w:id="21087712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researchgate.net/publication/309667953" TargetMode="External"/><Relationship Id="rId12" Type="http://schemas.openxmlformats.org/officeDocument/2006/relationships/hyperlink" Target="http://www.ehea.info/page-ministerial-conference-paris-2018"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hea.info/cid100938/ministerial-conference-berlin-2003.html" TargetMode="External"/><Relationship Id="rId9" Type="http://schemas.openxmlformats.org/officeDocument/2006/relationships/hyperlink" Target="http://www.ehea.info/cid101764/ministerial-conference-yerevan-2015.html" TargetMode="External"/><Relationship Id="rId24" Type="http://schemas.microsoft.com/office/2016/09/relationships/commentsIds" Target="commentsIds.xml"/><Relationship Id="rId10" Type="http://schemas.openxmlformats.org/officeDocument/2006/relationships/hyperlink" Target="https://edu.gov.az/az/page/72/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70FEA76-683D-1647-B961-84D2DF8C2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3000</Words>
  <Characters>17100</Characters>
  <Application>Microsoft Macintosh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Lala M. Mammadova</dc:creator>
  <cp:keywords/>
  <dc:description/>
  <cp:lastModifiedBy>Lala M. Mammadova</cp:lastModifiedBy>
  <cp:revision>6</cp:revision>
  <cp:lastPrinted>2019-04-02T09:44:00Z</cp:lastPrinted>
  <dcterms:created xsi:type="dcterms:W3CDTF">2019-04-10T06:07:00Z</dcterms:created>
  <dcterms:modified xsi:type="dcterms:W3CDTF">2019-05-15T10:15:00Z</dcterms:modified>
</cp:coreProperties>
</file>